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36" w:after="312"/>
        <w:rPr>
          <w:color w:val="auto"/>
        </w:rPr>
      </w:pPr>
      <w:bookmarkStart w:id="0" w:name="_Hlk108101486"/>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color w:val="auto"/>
        </w:rPr>
        <w:instrText xml:space="preserve">ADDIN CNKISM.UserStyle</w:instrText>
      </w:r>
      <w:r>
        <w:rPr>
          <w:color w:val="auto"/>
        </w:rPr>
        <w:fldChar w:fldCharType="end"/>
      </w:r>
      <w:bookmarkStart w:id="1" w:name="_Toc89691572"/>
      <w:bookmarkStart w:id="2" w:name="_Toc89457155"/>
      <w:r>
        <w:rPr>
          <w:rFonts w:hint="eastAsia"/>
          <w:color w:val="auto"/>
        </w:rPr>
        <w:t>西南财经大学公共管理学院推荐免试</w:t>
      </w:r>
      <w:r>
        <w:rPr>
          <w:color w:val="auto"/>
        </w:rPr>
        <w:br w:type="textWrapping"/>
      </w:r>
      <w:r>
        <w:rPr>
          <w:rFonts w:hint="eastAsia"/>
          <w:color w:val="auto"/>
        </w:rPr>
        <w:t>研究生工作实施细则</w:t>
      </w:r>
      <w:bookmarkEnd w:id="1"/>
      <w:bookmarkEnd w:id="2"/>
    </w:p>
    <w:p>
      <w:pPr>
        <w:pStyle w:val="5"/>
        <w:rPr>
          <w:bCs/>
          <w:color w:val="auto"/>
        </w:rPr>
      </w:pPr>
      <w:r>
        <w:rPr>
          <w:rFonts w:hint="eastAsia"/>
          <w:color w:val="auto"/>
        </w:rPr>
        <w:t>（20</w:t>
      </w:r>
      <w:r>
        <w:rPr>
          <w:color w:val="auto"/>
        </w:rPr>
        <w:t>22</w:t>
      </w:r>
      <w:r>
        <w:rPr>
          <w:rFonts w:hint="eastAsia"/>
          <w:color w:val="auto"/>
        </w:rPr>
        <w:t>年修订）</w:t>
      </w:r>
    </w:p>
    <w:p>
      <w:pPr>
        <w:keepNext/>
        <w:keepLines/>
        <w:spacing w:before="312" w:beforeLines="100" w:after="312" w:afterLines="100" w:line="560" w:lineRule="exact"/>
        <w:jc w:val="center"/>
        <w:outlineLvl w:val="1"/>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第一章</w:t>
      </w:r>
      <w:r>
        <w:rPr>
          <w:rFonts w:ascii="Times New Roman" w:hAnsi="Times New Roman" w:eastAsia="黑体" w:cs="Times New Roman"/>
          <w:b/>
          <w:color w:val="auto"/>
          <w:sz w:val="32"/>
          <w:szCs w:val="32"/>
        </w:rPr>
        <w:t xml:space="preserve">  </w:t>
      </w:r>
      <w:r>
        <w:rPr>
          <w:rFonts w:hint="eastAsia" w:ascii="Times New Roman" w:hAnsi="Times New Roman" w:eastAsia="黑体" w:cs="Times New Roman"/>
          <w:b/>
          <w:color w:val="auto"/>
          <w:sz w:val="32"/>
          <w:szCs w:val="32"/>
        </w:rPr>
        <w:t>总</w:t>
      </w:r>
      <w:r>
        <w:rPr>
          <w:rFonts w:ascii="Times New Roman" w:hAnsi="Times New Roman" w:eastAsia="黑体" w:cs="Times New Roman"/>
          <w:b/>
          <w:color w:val="auto"/>
          <w:sz w:val="32"/>
          <w:szCs w:val="32"/>
        </w:rPr>
        <w:t xml:space="preserve">  </w:t>
      </w:r>
      <w:r>
        <w:rPr>
          <w:rFonts w:hint="eastAsia" w:ascii="Times New Roman" w:hAnsi="Times New Roman" w:eastAsia="黑体" w:cs="Times New Roman"/>
          <w:b/>
          <w:color w:val="auto"/>
          <w:sz w:val="32"/>
          <w:szCs w:val="32"/>
        </w:rPr>
        <w:t>则</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第一条</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为加大拔尖创新人才选拔力度，着力培养德智体美劳全面发展的社会主义建设者和接班人，根据《西南财经大学推荐免试研究生管理办法》（</w:t>
      </w:r>
      <w:r>
        <w:rPr>
          <w:rFonts w:ascii="Times New Roman" w:hAnsi="Times New Roman" w:eastAsia="仿宋_GB2312"/>
          <w:color w:val="auto"/>
          <w:sz w:val="28"/>
          <w:szCs w:val="28"/>
        </w:rPr>
        <w:t>2021年修订）</w:t>
      </w:r>
      <w:r>
        <w:rPr>
          <w:rFonts w:hint="eastAsia" w:ascii="Times New Roman" w:hAnsi="Times New Roman" w:eastAsia="仿宋_GB2312"/>
          <w:color w:val="auto"/>
          <w:sz w:val="28"/>
          <w:szCs w:val="28"/>
        </w:rPr>
        <w:t>的要求，结合学院实际情况，制定本办法。</w:t>
      </w:r>
    </w:p>
    <w:bookmarkEnd w:id="0"/>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第二条</w:t>
      </w:r>
      <w:r>
        <w:rPr>
          <w:rFonts w:ascii="Times New Roman" w:hAnsi="Times New Roman" w:eastAsia="仿宋_GB2312" w:cs="Times New Roman"/>
          <w:color w:val="auto"/>
          <w:sz w:val="28"/>
          <w:szCs w:val="28"/>
        </w:rPr>
        <w:t xml:space="preserve">  </w:t>
      </w:r>
      <w:r>
        <w:rPr>
          <w:rFonts w:hint="eastAsia" w:ascii="Times New Roman" w:hAnsi="Times New Roman" w:eastAsia="仿宋_GB2312"/>
          <w:color w:val="auto"/>
          <w:sz w:val="28"/>
          <w:szCs w:val="28"/>
        </w:rPr>
        <w:t>学院成立推荐优秀应届本科毕业生免试攻读硕士学位研究生（以下简称“推免生”）工作小组（以下简称“学院工作小组”），，具体落实学院推免生工作。</w:t>
      </w:r>
    </w:p>
    <w:p>
      <w:pPr>
        <w:keepNext/>
        <w:keepLines/>
        <w:spacing w:before="312" w:beforeLines="100" w:after="312" w:afterLines="100" w:line="560" w:lineRule="exact"/>
        <w:jc w:val="center"/>
        <w:outlineLvl w:val="1"/>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第二章</w:t>
      </w:r>
      <w:r>
        <w:rPr>
          <w:rFonts w:ascii="Times New Roman" w:hAnsi="Times New Roman" w:eastAsia="黑体" w:cs="Times New Roman"/>
          <w:b/>
          <w:color w:val="auto"/>
          <w:sz w:val="32"/>
          <w:szCs w:val="32"/>
        </w:rPr>
        <w:t xml:space="preserve">  </w:t>
      </w:r>
      <w:r>
        <w:rPr>
          <w:rFonts w:hint="eastAsia" w:ascii="Times New Roman" w:hAnsi="Times New Roman" w:eastAsia="黑体" w:cs="Times New Roman"/>
          <w:b/>
          <w:color w:val="auto"/>
          <w:sz w:val="32"/>
          <w:szCs w:val="32"/>
        </w:rPr>
        <w:t>推荐条件和程序</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第三条</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推免生基本条件</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（一）拥护中国共产党的领导，热爱祖国，品德优良，遵纪守法，身心健康。</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（二）纳入国家普通本科招生计划录取的应届本科毕业生（不含第二学士学位）。</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（三）诚实守信，学风端正，在校期间品学兼优，无考试作弊和学术不端行为记录，无未解除的纪律处分。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（四）学术研究兴趣浓厚，有较强的创新意识、创新能力和专业能力。</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（五）满足以下学业条件</w:t>
      </w:r>
    </w:p>
    <w:p>
      <w:pPr>
        <w:spacing w:line="56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1.学分条件：</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修读并获得本专业人才培养方案规定的前三学年全部必修学分。如因学校或学院更改教学计划导致必修课程未开设，不影响学生报名资格。</w:t>
      </w:r>
    </w:p>
    <w:p>
      <w:pPr>
        <w:spacing w:line="56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2.成绩条件：</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前三年平均学分绩点（按第一次总评成绩计算）在</w:t>
      </w:r>
      <w:r>
        <w:rPr>
          <w:rFonts w:ascii="Times New Roman" w:hAnsi="Times New Roman" w:eastAsia="仿宋_GB2312"/>
          <w:color w:val="auto"/>
          <w:sz w:val="28"/>
          <w:szCs w:val="28"/>
        </w:rPr>
        <w:t>2.5及以上，只计算本专业培养方案中前三学年的通识教育基础课程、大学科基础课程</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专业必修课程及</w:t>
      </w:r>
      <w:r>
        <w:rPr>
          <w:rFonts w:hint="eastAsia" w:ascii="Times New Roman" w:hAnsi="Times New Roman" w:eastAsia="仿宋_GB2312"/>
          <w:color w:val="auto"/>
          <w:sz w:val="28"/>
          <w:szCs w:val="28"/>
        </w:rPr>
        <w:t>专业方向课程</w:t>
      </w:r>
      <w:r>
        <w:rPr>
          <w:rFonts w:ascii="Times New Roman" w:hAnsi="Times New Roman" w:eastAsia="仿宋_GB2312"/>
          <w:color w:val="auto"/>
          <w:sz w:val="28"/>
          <w:szCs w:val="28"/>
        </w:rPr>
        <w:t>成绩。</w:t>
      </w:r>
    </w:p>
    <w:p>
      <w:pPr>
        <w:spacing w:line="56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3.外语条件：</w:t>
      </w:r>
    </w:p>
    <w:p>
      <w:pPr>
        <w:spacing w:line="56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外语水平满足以下条件之一：大学英语（或其它语种）四级考试成绩在530分及以上；大学英语（或其它语种）六级考试成绩在430分及以上；雅思IELTS成绩6.0及以上；托福TOFEL、GMAT成绩达到满分的65％及以上；</w:t>
      </w:r>
      <w:r>
        <w:rPr>
          <w:rFonts w:ascii="Times New Roman" w:hAnsi="Times New Roman" w:eastAsia="仿宋_GB2312" w:cs="Times New Roman"/>
          <w:color w:val="auto"/>
          <w:kern w:val="0"/>
          <w:sz w:val="28"/>
          <w:szCs w:val="28"/>
        </w:rPr>
        <w:t>GRE</w:t>
      </w:r>
      <w:r>
        <w:rPr>
          <w:rFonts w:hint="eastAsia" w:ascii="Times New Roman" w:hAnsi="Times New Roman" w:eastAsia="仿宋_GB2312" w:cs="Times New Roman"/>
          <w:color w:val="auto"/>
          <w:kern w:val="0"/>
          <w:sz w:val="28"/>
          <w:szCs w:val="28"/>
        </w:rPr>
        <w:t>成绩达到</w:t>
      </w:r>
      <w:r>
        <w:rPr>
          <w:rFonts w:ascii="Times New Roman" w:hAnsi="Times New Roman" w:eastAsia="仿宋_GB2312" w:cs="Times New Roman"/>
          <w:color w:val="auto"/>
          <w:kern w:val="0"/>
          <w:sz w:val="28"/>
          <w:szCs w:val="28"/>
        </w:rPr>
        <w:t>310</w:t>
      </w:r>
      <w:r>
        <w:rPr>
          <w:rFonts w:hint="eastAsia" w:ascii="Times New Roman" w:hAnsi="Times New Roman" w:eastAsia="仿宋_GB2312" w:cs="Times New Roman"/>
          <w:color w:val="auto"/>
          <w:kern w:val="0"/>
          <w:sz w:val="28"/>
          <w:szCs w:val="28"/>
        </w:rPr>
        <w:t>分及以上</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上述外语成绩均应为在大学期间参加考试并在推免报名截止时间之前取得的成绩。</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第四条</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推荐工作程序</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（一）学校领导小组下达当年推免生工作计划。</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（二）学院工作小组根据学校推免生工作计划制定本学院工作计划，向学生进行宣传并接受报名。</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（三）学生符合本办法</w:t>
      </w:r>
      <w:r>
        <w:rPr>
          <w:rFonts w:hint="eastAsia" w:ascii="Times New Roman" w:hAnsi="Times New Roman" w:eastAsia="仿宋_GB2312"/>
          <w:color w:val="auto"/>
          <w:sz w:val="28"/>
          <w:szCs w:val="28"/>
        </w:rPr>
        <w:t>第三条</w:t>
      </w:r>
      <w:r>
        <w:rPr>
          <w:rFonts w:hint="eastAsia" w:ascii="Times New Roman" w:hAnsi="Times New Roman" w:eastAsia="仿宋_GB2312"/>
          <w:color w:val="auto"/>
          <w:sz w:val="28"/>
          <w:szCs w:val="28"/>
        </w:rPr>
        <w:t>所规定的条件，可向学院提交申请及相应证明材料。</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（四）学院工作小组对申请学生进行资格审核，凡符合要求者，由学院工作小组对申请学生进行综合测评，并按综合测评成绩排序后在本学院内向学生公示名单。</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（五）学校领导小组根据教育部规定，综合考虑学院应届毕业生总数、深造率、学科发展情况等因素，确定下达学院推免生指标。</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（六）学院工作小组根据学校领导小组下达的推免生指标，按照公示的推免生综合测评成绩排名顺序，择优确定学院推荐名单。</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（七）学校复审学院推荐名单并公示，公示期间若有学生被取消资格或自愿放弃，学院可按照排名顺序依次递补。公示期结束，不再进行递补工作，推荐名单报校务会审批后向学校党委汇报。</w:t>
      </w:r>
    </w:p>
    <w:p>
      <w:pPr>
        <w:keepNext/>
        <w:keepLines/>
        <w:spacing w:before="312" w:beforeLines="100" w:after="312" w:afterLines="100" w:line="560" w:lineRule="exact"/>
        <w:jc w:val="center"/>
        <w:outlineLvl w:val="1"/>
        <w:rPr>
          <w:rFonts w:ascii="Times New Roman" w:hAnsi="Times New Roman" w:eastAsia="黑体" w:cs="Times New Roman"/>
          <w:b/>
          <w:color w:val="auto"/>
          <w:sz w:val="32"/>
          <w:szCs w:val="32"/>
        </w:rPr>
      </w:pPr>
      <w:r>
        <w:rPr>
          <w:rFonts w:hint="eastAsia" w:ascii="Times New Roman" w:hAnsi="Times New Roman" w:eastAsia="黑体" w:cs="Times New Roman"/>
          <w:b/>
          <w:color w:val="auto"/>
          <w:sz w:val="32"/>
          <w:szCs w:val="32"/>
        </w:rPr>
        <w:t>第三章</w:t>
      </w:r>
      <w:r>
        <w:rPr>
          <w:rFonts w:ascii="Times New Roman" w:hAnsi="Times New Roman" w:eastAsia="黑体" w:cs="Times New Roman"/>
          <w:b/>
          <w:color w:val="auto"/>
          <w:sz w:val="32"/>
          <w:szCs w:val="32"/>
        </w:rPr>
        <w:t xml:space="preserve">  </w:t>
      </w:r>
      <w:r>
        <w:rPr>
          <w:rFonts w:hint="eastAsia" w:ascii="Times New Roman" w:hAnsi="Times New Roman" w:eastAsia="黑体" w:cs="Times New Roman"/>
          <w:b/>
          <w:color w:val="auto"/>
          <w:sz w:val="32"/>
          <w:szCs w:val="32"/>
        </w:rPr>
        <w:t>综合测评</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第五条</w:t>
      </w:r>
      <w:r>
        <w:rPr>
          <w:rFonts w:ascii="Times New Roman" w:hAnsi="Times New Roman" w:eastAsia="仿宋_GB2312"/>
          <w:b/>
          <w:color w:val="auto"/>
          <w:sz w:val="28"/>
          <w:szCs w:val="28"/>
        </w:rPr>
        <w:t xml:space="preserve">  </w:t>
      </w:r>
      <w:r>
        <w:rPr>
          <w:rFonts w:ascii="Times New Roman" w:hAnsi="Times New Roman" w:eastAsia="仿宋_GB2312"/>
          <w:color w:val="auto"/>
          <w:sz w:val="28"/>
          <w:szCs w:val="28"/>
        </w:rPr>
        <w:t>学院工作小组根据申请学生的思想品德情况、学业成绩、学术专长、参加入伍服兵役、参加志愿服务、到国际组织实习、科研成果、竞赛获奖等符合全面发展价值导向的因素进行综合测评，并按测评成绩高低排序后在本学院内向学生公示名单。</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参加推荐免试研究生学生的总成绩按专业由高到低排序后，由学院工作小组根据学校领导小组下达的可接收推免生名额按专业人数与学院总人数比例（实行四舍五入）确定学院及各专业推荐名单。按照综合成绩由高到低排序。如果综合成绩一样，则按照学业成绩高低进行排序。</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第六条</w:t>
      </w:r>
      <w:r>
        <w:rPr>
          <w:rFonts w:ascii="Times New Roman" w:hAnsi="Times New Roman" w:eastAsia="仿宋_GB2312"/>
          <w:b/>
          <w:color w:val="auto"/>
          <w:sz w:val="28"/>
          <w:szCs w:val="28"/>
        </w:rPr>
        <w:t xml:space="preserve">  </w:t>
      </w:r>
      <w:r>
        <w:rPr>
          <w:rFonts w:ascii="Times New Roman" w:hAnsi="Times New Roman" w:eastAsia="仿宋_GB2312"/>
          <w:color w:val="auto"/>
          <w:sz w:val="28"/>
          <w:szCs w:val="28"/>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pPr>
        <w:adjustRightInd w:val="0"/>
        <w:snapToGrid w:val="0"/>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须提交由本人辅导员提供的思想品德鉴定意见和在校期间有</w:t>
      </w:r>
      <w:r>
        <w:rPr>
          <w:rFonts w:ascii="Times New Roman" w:hAnsi="Times New Roman" w:eastAsia="仿宋_GB2312"/>
          <w:color w:val="auto"/>
          <w:sz w:val="28"/>
          <w:szCs w:val="28"/>
        </w:rPr>
        <w:t>无</w:t>
      </w:r>
      <w:r>
        <w:rPr>
          <w:rFonts w:hint="eastAsia" w:ascii="Times New Roman" w:hAnsi="Times New Roman" w:eastAsia="仿宋_GB2312"/>
          <w:color w:val="auto"/>
          <w:sz w:val="28"/>
          <w:szCs w:val="28"/>
        </w:rPr>
        <w:t>违规、</w:t>
      </w:r>
      <w:r>
        <w:rPr>
          <w:rFonts w:ascii="Times New Roman" w:hAnsi="Times New Roman" w:eastAsia="仿宋_GB2312"/>
          <w:color w:val="auto"/>
          <w:sz w:val="28"/>
          <w:szCs w:val="28"/>
        </w:rPr>
        <w:t>违纪</w:t>
      </w:r>
      <w:r>
        <w:rPr>
          <w:rFonts w:hint="eastAsia" w:ascii="Times New Roman" w:hAnsi="Times New Roman" w:eastAsia="仿宋_GB2312"/>
          <w:color w:val="auto"/>
          <w:sz w:val="28"/>
          <w:szCs w:val="28"/>
        </w:rPr>
        <w:t>的</w:t>
      </w:r>
      <w:r>
        <w:rPr>
          <w:rFonts w:ascii="Times New Roman" w:hAnsi="Times New Roman" w:eastAsia="仿宋_GB2312"/>
          <w:color w:val="auto"/>
          <w:sz w:val="28"/>
          <w:szCs w:val="28"/>
        </w:rPr>
        <w:t>情况证明</w:t>
      </w:r>
      <w:r>
        <w:rPr>
          <w:rFonts w:hint="eastAsia" w:ascii="Times New Roman" w:hAnsi="Times New Roman" w:eastAsia="仿宋_GB2312"/>
          <w:color w:val="auto"/>
          <w:sz w:val="28"/>
          <w:szCs w:val="28"/>
        </w:rPr>
        <w:t>。思想品德鉴定意见合格者，具有推免资格。如有违规、</w:t>
      </w:r>
      <w:r>
        <w:rPr>
          <w:rFonts w:ascii="Times New Roman" w:hAnsi="Times New Roman" w:eastAsia="仿宋_GB2312"/>
          <w:color w:val="auto"/>
          <w:sz w:val="28"/>
          <w:szCs w:val="28"/>
        </w:rPr>
        <w:t>违纪</w:t>
      </w:r>
      <w:r>
        <w:rPr>
          <w:rFonts w:hint="eastAsia" w:ascii="Times New Roman" w:hAnsi="Times New Roman" w:eastAsia="仿宋_GB2312"/>
          <w:color w:val="auto"/>
          <w:sz w:val="28"/>
          <w:szCs w:val="28"/>
        </w:rPr>
        <w:t>行为，</w:t>
      </w:r>
      <w:r>
        <w:rPr>
          <w:rFonts w:ascii="Times New Roman" w:hAnsi="Times New Roman" w:eastAsia="仿宋_GB2312"/>
          <w:color w:val="auto"/>
          <w:sz w:val="28"/>
          <w:szCs w:val="28"/>
        </w:rPr>
        <w:t>一票否决推免资格</w:t>
      </w:r>
      <w:r>
        <w:rPr>
          <w:rFonts w:hint="eastAsia" w:ascii="Times New Roman" w:hAnsi="Times New Roman" w:eastAsia="仿宋_GB2312"/>
          <w:color w:val="auto"/>
          <w:sz w:val="28"/>
          <w:szCs w:val="28"/>
        </w:rPr>
        <w:t>。</w:t>
      </w:r>
    </w:p>
    <w:p>
      <w:pPr>
        <w:spacing w:line="56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 xml:space="preserve">第七条 </w:t>
      </w:r>
      <w:r>
        <w:rPr>
          <w:rFonts w:ascii="Times New Roman" w:hAnsi="Times New Roman" w:eastAsia="仿宋_GB2312"/>
          <w:b/>
          <w:color w:val="auto"/>
          <w:sz w:val="28"/>
          <w:szCs w:val="28"/>
        </w:rPr>
        <w:t xml:space="preserve"> </w:t>
      </w:r>
      <w:r>
        <w:rPr>
          <w:rFonts w:hint="eastAsia" w:ascii="Times New Roman" w:hAnsi="Times New Roman" w:eastAsia="仿宋_GB2312"/>
          <w:bCs/>
          <w:color w:val="auto"/>
          <w:sz w:val="28"/>
          <w:szCs w:val="28"/>
        </w:rPr>
        <w:t>综合测评成绩构成</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综合测评成绩</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学业成绩×</w:t>
      </w:r>
      <w:r>
        <w:rPr>
          <w:rFonts w:ascii="Times New Roman" w:hAnsi="Times New Roman" w:eastAsia="仿宋_GB2312"/>
          <w:color w:val="auto"/>
          <w:sz w:val="28"/>
          <w:szCs w:val="28"/>
        </w:rPr>
        <w:t>70%+</w:t>
      </w:r>
      <w:r>
        <w:rPr>
          <w:rFonts w:hint="eastAsia" w:ascii="Times New Roman" w:hAnsi="Times New Roman" w:eastAsia="仿宋_GB2312"/>
          <w:color w:val="auto"/>
          <w:sz w:val="28"/>
          <w:szCs w:val="28"/>
        </w:rPr>
        <w:t>综合能力加分（含拔尖项目加分）×</w:t>
      </w:r>
      <w:r>
        <w:rPr>
          <w:rFonts w:ascii="Times New Roman" w:hAnsi="Times New Roman" w:eastAsia="仿宋_GB2312"/>
          <w:color w:val="auto"/>
          <w:sz w:val="28"/>
          <w:szCs w:val="28"/>
        </w:rPr>
        <w:t xml:space="preserve">30% </w:t>
      </w:r>
    </w:p>
    <w:p>
      <w:pPr>
        <w:spacing w:line="56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（一）学业成绩</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学业成绩满分</w:t>
      </w:r>
      <w:r>
        <w:rPr>
          <w:rFonts w:ascii="Times New Roman" w:hAnsi="Times New Roman" w:eastAsia="仿宋_GB2312"/>
          <w:color w:val="auto"/>
          <w:sz w:val="28"/>
          <w:szCs w:val="28"/>
        </w:rPr>
        <w:t>100</w:t>
      </w:r>
      <w:r>
        <w:rPr>
          <w:rFonts w:hint="eastAsia" w:ascii="Times New Roman" w:hAnsi="Times New Roman" w:eastAsia="仿宋_GB2312"/>
          <w:color w:val="auto"/>
          <w:sz w:val="28"/>
          <w:szCs w:val="28"/>
        </w:rPr>
        <w:t>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学业成绩</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∑（某门课程成绩×该课程学分）／</w:t>
      </w:r>
      <w:r>
        <w:rPr>
          <w:rFonts w:ascii="Times New Roman" w:hAnsi="Times New Roman" w:eastAsia="仿宋_GB2312"/>
          <w:color w:val="auto"/>
          <w:sz w:val="28"/>
          <w:szCs w:val="28"/>
        </w:rPr>
        <w:t>∑课程学分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课程成绩均按第一次总评成绩计算。纳入学业成绩计算范围的课程：本专业培养方案中前三学年的通识教育基础课程、</w:t>
      </w:r>
      <w:r>
        <w:rPr>
          <w:rFonts w:ascii="Times New Roman" w:hAnsi="Times New Roman" w:eastAsia="仿宋_GB2312"/>
          <w:color w:val="auto"/>
          <w:sz w:val="28"/>
          <w:szCs w:val="28"/>
        </w:rPr>
        <w:t>大学科基础课程</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专业必修课程及</w:t>
      </w:r>
      <w:r>
        <w:rPr>
          <w:rFonts w:hint="eastAsia" w:ascii="Times New Roman" w:hAnsi="Times New Roman" w:eastAsia="仿宋_GB2312"/>
          <w:color w:val="auto"/>
          <w:sz w:val="28"/>
          <w:szCs w:val="28"/>
        </w:rPr>
        <w:t>专业方向课程</w:t>
      </w:r>
      <w:r>
        <w:rPr>
          <w:rFonts w:ascii="Times New Roman" w:hAnsi="Times New Roman" w:eastAsia="仿宋_GB2312"/>
          <w:color w:val="auto"/>
          <w:sz w:val="28"/>
          <w:szCs w:val="28"/>
        </w:rPr>
        <w:t>。</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外出交流生应在申请推免生资格前，完成学分认定及成绩转换后参与成绩排名。</w:t>
      </w:r>
    </w:p>
    <w:p>
      <w:pPr>
        <w:spacing w:line="56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（二）综合能力加分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综合能力加分满分为</w:t>
      </w:r>
      <w:r>
        <w:rPr>
          <w:rFonts w:ascii="Times New Roman" w:hAnsi="Times New Roman" w:eastAsia="仿宋_GB2312"/>
          <w:color w:val="auto"/>
          <w:sz w:val="28"/>
          <w:szCs w:val="28"/>
        </w:rPr>
        <w:t>100</w:t>
      </w:r>
      <w:r>
        <w:rPr>
          <w:rFonts w:hint="eastAsia" w:ascii="Times New Roman" w:hAnsi="Times New Roman" w:eastAsia="仿宋_GB2312"/>
          <w:color w:val="auto"/>
          <w:sz w:val="28"/>
          <w:szCs w:val="28"/>
        </w:rPr>
        <w:t>分，</w:t>
      </w:r>
      <w:r>
        <w:rPr>
          <w:rFonts w:ascii="Times New Roman" w:hAnsi="Times New Roman" w:eastAsia="仿宋_GB2312"/>
          <w:color w:val="auto"/>
          <w:sz w:val="28"/>
          <w:szCs w:val="28"/>
        </w:rPr>
        <w:t>包含学科竞赛类、科研成果类、创新创业类、服兵役类、社会实践类、荣誉类</w:t>
      </w:r>
      <w:r>
        <w:rPr>
          <w:rFonts w:hint="eastAsia" w:ascii="Times New Roman" w:hAnsi="Times New Roman" w:eastAsia="仿宋_GB2312"/>
          <w:color w:val="auto"/>
          <w:sz w:val="28"/>
          <w:szCs w:val="28"/>
        </w:rPr>
        <w:t>、美育类</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体育类、劳动教育类九</w:t>
      </w:r>
      <w:r>
        <w:rPr>
          <w:rFonts w:ascii="Times New Roman" w:hAnsi="Times New Roman" w:eastAsia="仿宋_GB2312"/>
          <w:color w:val="auto"/>
          <w:sz w:val="28"/>
          <w:szCs w:val="28"/>
        </w:rPr>
        <w:t>个类别。</w:t>
      </w:r>
      <w:r>
        <w:rPr>
          <w:rFonts w:hint="eastAsia" w:ascii="Times New Roman" w:hAnsi="Times New Roman" w:eastAsia="仿宋_GB2312"/>
          <w:color w:val="auto"/>
          <w:sz w:val="28"/>
          <w:szCs w:val="28"/>
        </w:rPr>
        <w:t>综合能力设置为科研创新能力加分（满分</w:t>
      </w:r>
      <w:r>
        <w:rPr>
          <w:rFonts w:ascii="Times New Roman" w:hAnsi="Times New Roman" w:eastAsia="仿宋_GB2312"/>
          <w:color w:val="auto"/>
          <w:sz w:val="28"/>
          <w:szCs w:val="28"/>
        </w:rPr>
        <w:t>60分）和素质能力加分（满分40分）两部分。其中，科研创新能力加分包含学科竞赛类</w:t>
      </w:r>
      <w:r>
        <w:rPr>
          <w:rFonts w:hint="eastAsia" w:ascii="Times New Roman" w:hAnsi="Times New Roman" w:eastAsia="仿宋_GB2312"/>
          <w:color w:val="auto"/>
          <w:sz w:val="28"/>
          <w:szCs w:val="28"/>
          <w:lang w:eastAsia="zh-CN"/>
        </w:rPr>
        <w:t>、</w:t>
      </w:r>
      <w:r>
        <w:rPr>
          <w:rFonts w:ascii="Times New Roman" w:hAnsi="Times New Roman" w:eastAsia="仿宋_GB2312"/>
          <w:color w:val="auto"/>
          <w:sz w:val="28"/>
          <w:szCs w:val="28"/>
        </w:rPr>
        <w:t>科研成果类、创新创业类。素质能力加分包含</w:t>
      </w:r>
      <w:r>
        <w:rPr>
          <w:rFonts w:hint="eastAsia" w:ascii="Times New Roman" w:hAnsi="Times New Roman" w:eastAsia="仿宋_GB2312"/>
          <w:color w:val="auto"/>
          <w:sz w:val="28"/>
          <w:szCs w:val="28"/>
        </w:rPr>
        <w:t>服兵役类、社会实践类、荣誉类、美育类</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体育类、劳动教育类</w:t>
      </w:r>
      <w:r>
        <w:rPr>
          <w:rFonts w:ascii="Times New Roman" w:hAnsi="Times New Roman" w:eastAsia="仿宋_GB2312"/>
          <w:color w:val="auto"/>
          <w:sz w:val="28"/>
          <w:szCs w:val="28"/>
        </w:rPr>
        <w:t>。加分上限为100分</w:t>
      </w: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超过不累计</w:t>
      </w:r>
      <w:r>
        <w:rPr>
          <w:rFonts w:hint="eastAsia" w:ascii="Times New Roman" w:hAnsi="Times New Roman" w:eastAsia="仿宋_GB2312"/>
          <w:color w:val="auto"/>
          <w:sz w:val="28"/>
          <w:szCs w:val="28"/>
        </w:rPr>
        <w:t>。其中获得拔尖项目的，</w:t>
      </w:r>
      <w:r>
        <w:rPr>
          <w:rFonts w:hint="eastAsia" w:ascii="Times New Roman" w:hAnsi="Times New Roman" w:eastAsia="仿宋_GB2312"/>
          <w:color w:val="auto"/>
          <w:sz w:val="28"/>
          <w:szCs w:val="28"/>
        </w:rPr>
        <w:t>按照《西南财经大学推荐面试研究生管理办法》中的拔尖项目加分规则执行</w:t>
      </w:r>
      <w:r>
        <w:rPr>
          <w:rFonts w:hint="eastAsia" w:ascii="Times New Roman" w:hAnsi="Times New Roman" w:eastAsia="仿宋_GB2312"/>
          <w:color w:val="auto"/>
          <w:sz w:val="28"/>
          <w:szCs w:val="28"/>
        </w:rPr>
        <w:t>，</w:t>
      </w:r>
      <w:r>
        <w:rPr>
          <w:rFonts w:hint="eastAsia" w:ascii="Times New Roman" w:hAnsi="Times New Roman" w:eastAsia="仿宋_GB2312"/>
          <w:color w:val="auto"/>
          <w:sz w:val="28"/>
          <w:szCs w:val="28"/>
        </w:rPr>
        <w:t>加分计入综合能力总分，</w:t>
      </w:r>
      <w:r>
        <w:rPr>
          <w:rFonts w:hint="eastAsia" w:ascii="Times New Roman" w:hAnsi="Times New Roman" w:eastAsia="仿宋_GB2312"/>
          <w:color w:val="auto"/>
          <w:sz w:val="28"/>
          <w:szCs w:val="28"/>
          <w:lang w:val="en-US" w:eastAsia="zh-CN"/>
        </w:rPr>
        <w:t>且</w:t>
      </w:r>
      <w:r>
        <w:rPr>
          <w:rFonts w:hint="eastAsia" w:ascii="Times New Roman" w:hAnsi="Times New Roman" w:eastAsia="仿宋_GB2312"/>
          <w:color w:val="auto"/>
          <w:sz w:val="28"/>
          <w:szCs w:val="28"/>
        </w:rPr>
        <w:t>不受素质能力加分满分</w:t>
      </w:r>
      <w:r>
        <w:rPr>
          <w:rFonts w:ascii="Times New Roman" w:hAnsi="Times New Roman" w:eastAsia="仿宋_GB2312"/>
          <w:color w:val="auto"/>
          <w:sz w:val="28"/>
          <w:szCs w:val="28"/>
        </w:rPr>
        <w:t>40</w:t>
      </w:r>
      <w:r>
        <w:rPr>
          <w:rFonts w:hint="eastAsia" w:ascii="Times New Roman" w:hAnsi="Times New Roman" w:eastAsia="仿宋_GB2312"/>
          <w:color w:val="auto"/>
          <w:sz w:val="28"/>
          <w:szCs w:val="28"/>
        </w:rPr>
        <w:t>分限制</w:t>
      </w:r>
      <w:r>
        <w:rPr>
          <w:rFonts w:hint="eastAsia" w:ascii="Times New Roman" w:hAnsi="Times New Roman" w:eastAsia="仿宋_GB2312"/>
          <w:color w:val="auto"/>
          <w:sz w:val="28"/>
          <w:szCs w:val="28"/>
        </w:rPr>
        <w:t>。学生在每一方面中有多项加分情况时，只取最高一项（含该方面拔尖项目加分）。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1</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学科竞赛类</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学科竞赛类主要包含专业相关学科竞赛、电子设计竞赛、数学竞赛、英语竞赛等方面。</w:t>
      </w:r>
      <w:bookmarkStart w:id="10" w:name="_GoBack"/>
      <w:bookmarkEnd w:id="10"/>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（1）专业相关学科竞赛</w:t>
      </w:r>
    </w:p>
    <w:tbl>
      <w:tblPr>
        <w:tblStyle w:val="26"/>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4"/>
        <w:gridCol w:w="3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学科竞赛（主办单位）</w:t>
            </w:r>
          </w:p>
        </w:tc>
        <w:tc>
          <w:tcPr>
            <w:tcW w:w="2195" w:type="pct"/>
            <w:vAlign w:val="center"/>
          </w:tcPr>
          <w:p>
            <w:pPr>
              <w:jc w:val="center"/>
              <w:rPr>
                <w:rFonts w:eastAsia="仿宋_GB2312"/>
                <w:color w:val="auto"/>
                <w:kern w:val="0"/>
                <w:sz w:val="20"/>
              </w:rPr>
            </w:pPr>
            <w:r>
              <w:rPr>
                <w:rFonts w:hint="eastAsia" w:eastAsia="仿宋_GB2312"/>
                <w:color w:val="auto"/>
                <w:kern w:val="0"/>
                <w:sz w:val="20"/>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“求是杯”全国公共管理案例大赛（中国人民大学）</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w:t>
            </w:r>
            <w:r>
              <w:rPr>
                <w:rFonts w:eastAsia="仿宋_GB2312"/>
                <w:color w:val="auto"/>
                <w:kern w:val="0"/>
                <w:sz w:val="20"/>
              </w:rPr>
              <w:t>10</w:t>
            </w:r>
            <w:r>
              <w:rPr>
                <w:rFonts w:hint="eastAsia" w:eastAsia="仿宋_GB2312"/>
                <w:color w:val="auto"/>
                <w:kern w:val="0"/>
                <w:sz w:val="20"/>
              </w:rPr>
              <w:t>分、二等奖</w:t>
            </w:r>
            <w:r>
              <w:rPr>
                <w:rFonts w:eastAsia="仿宋_GB2312"/>
                <w:color w:val="auto"/>
                <w:kern w:val="0"/>
                <w:sz w:val="20"/>
              </w:rPr>
              <w:t>8</w:t>
            </w:r>
            <w:r>
              <w:rPr>
                <w:rFonts w:hint="eastAsia" w:eastAsia="仿宋_GB2312"/>
                <w:color w:val="auto"/>
                <w:kern w:val="0"/>
                <w:sz w:val="20"/>
              </w:rPr>
              <w:t>分、三等奖</w:t>
            </w:r>
            <w:r>
              <w:rPr>
                <w:rFonts w:eastAsia="仿宋_GB2312"/>
                <w:color w:val="auto"/>
                <w:kern w:val="0"/>
                <w:sz w:val="20"/>
              </w:rPr>
              <w:t>6</w:t>
            </w:r>
            <w:r>
              <w:rPr>
                <w:rFonts w:hint="eastAsia" w:eastAsia="仿宋_GB2312"/>
                <w:color w:val="auto"/>
                <w:kern w:val="0"/>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中国公共政策案例分析大赛（清华大学）</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w:t>
            </w:r>
            <w:r>
              <w:rPr>
                <w:rFonts w:eastAsia="仿宋_GB2312"/>
                <w:color w:val="auto"/>
                <w:kern w:val="0"/>
                <w:sz w:val="20"/>
              </w:rPr>
              <w:t>10</w:t>
            </w:r>
            <w:r>
              <w:rPr>
                <w:rFonts w:hint="eastAsia" w:eastAsia="仿宋_GB2312"/>
                <w:color w:val="auto"/>
                <w:kern w:val="0"/>
                <w:sz w:val="20"/>
              </w:rPr>
              <w:t>分、二等奖</w:t>
            </w:r>
            <w:r>
              <w:rPr>
                <w:rFonts w:eastAsia="仿宋_GB2312"/>
                <w:color w:val="auto"/>
                <w:kern w:val="0"/>
                <w:sz w:val="20"/>
              </w:rPr>
              <w:t>8</w:t>
            </w:r>
            <w:r>
              <w:rPr>
                <w:rFonts w:hint="eastAsia" w:eastAsia="仿宋_GB2312"/>
                <w:color w:val="auto"/>
                <w:kern w:val="0"/>
                <w:sz w:val="20"/>
              </w:rPr>
              <w:t>分、三等奖</w:t>
            </w:r>
            <w:r>
              <w:rPr>
                <w:rFonts w:eastAsia="仿宋_GB2312"/>
                <w:color w:val="auto"/>
                <w:kern w:val="0"/>
                <w:sz w:val="20"/>
              </w:rPr>
              <w:t>6</w:t>
            </w:r>
            <w:r>
              <w:rPr>
                <w:rFonts w:hint="eastAsia" w:eastAsia="仿宋_GB2312"/>
                <w:color w:val="auto"/>
                <w:kern w:val="0"/>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color w:val="auto"/>
                <w:kern w:val="0"/>
                <w:sz w:val="20"/>
                <w:lang w:eastAsia="zh-CN"/>
              </w:rPr>
            </w:pPr>
            <w:r>
              <w:rPr>
                <w:rFonts w:hint="eastAsia" w:eastAsia="仿宋_GB2312"/>
                <w:color w:val="auto"/>
                <w:kern w:val="0"/>
                <w:sz w:val="20"/>
              </w:rPr>
              <w:t>“哲寻杯”全国大学生公共管理大赛</w:t>
            </w:r>
            <w:r>
              <w:rPr>
                <w:rFonts w:hint="eastAsia" w:eastAsia="仿宋_GB2312"/>
                <w:color w:val="auto"/>
                <w:kern w:val="0"/>
                <w:sz w:val="20"/>
                <w:lang w:eastAsia="zh-CN"/>
              </w:rPr>
              <w:t>（</w:t>
            </w:r>
            <w:r>
              <w:rPr>
                <w:rFonts w:hint="eastAsia" w:eastAsia="仿宋_GB2312"/>
                <w:color w:val="auto"/>
                <w:kern w:val="0"/>
                <w:sz w:val="20"/>
                <w:lang w:val="en-US" w:eastAsia="zh-CN"/>
              </w:rPr>
              <w:t>全国总决赛）</w:t>
            </w:r>
          </w:p>
        </w:tc>
        <w:tc>
          <w:tcPr>
            <w:tcW w:w="2195"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w:t>
            </w:r>
            <w:r>
              <w:rPr>
                <w:rFonts w:eastAsia="仿宋_GB2312"/>
                <w:color w:val="auto"/>
                <w:kern w:val="0"/>
                <w:sz w:val="20"/>
              </w:rPr>
              <w:t>10</w:t>
            </w:r>
            <w:r>
              <w:rPr>
                <w:rFonts w:hint="eastAsia" w:eastAsia="仿宋_GB2312"/>
                <w:color w:val="auto"/>
                <w:kern w:val="0"/>
                <w:sz w:val="20"/>
              </w:rPr>
              <w:t>分、二等奖</w:t>
            </w:r>
            <w:r>
              <w:rPr>
                <w:rFonts w:eastAsia="仿宋_GB2312"/>
                <w:color w:val="auto"/>
                <w:kern w:val="0"/>
                <w:sz w:val="20"/>
              </w:rPr>
              <w:t>8</w:t>
            </w:r>
            <w:r>
              <w:rPr>
                <w:rFonts w:hint="eastAsia" w:eastAsia="仿宋_GB2312"/>
                <w:color w:val="auto"/>
                <w:kern w:val="0"/>
                <w:sz w:val="20"/>
              </w:rPr>
              <w:t>分、三等奖</w:t>
            </w:r>
            <w:r>
              <w:rPr>
                <w:rFonts w:eastAsia="仿宋_GB2312"/>
                <w:color w:val="auto"/>
                <w:kern w:val="0"/>
                <w:sz w:val="20"/>
              </w:rPr>
              <w:t>6</w:t>
            </w:r>
            <w:r>
              <w:rPr>
                <w:rFonts w:hint="eastAsia" w:eastAsia="仿宋_GB2312"/>
                <w:color w:val="auto"/>
                <w:kern w:val="0"/>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color w:val="auto"/>
                <w:kern w:val="0"/>
                <w:sz w:val="20"/>
              </w:rPr>
            </w:pPr>
            <w:r>
              <w:rPr>
                <w:rFonts w:hint="eastAsia" w:eastAsia="仿宋_GB2312"/>
                <w:color w:val="auto"/>
                <w:kern w:val="0"/>
                <w:sz w:val="20"/>
              </w:rPr>
              <w:t>“哲寻杯”</w:t>
            </w:r>
            <w:r>
              <w:rPr>
                <w:rFonts w:hint="eastAsia" w:eastAsia="仿宋_GB2312"/>
                <w:color w:val="auto"/>
                <w:kern w:val="0"/>
                <w:sz w:val="20"/>
                <w:lang w:val="en-US" w:eastAsia="zh-CN"/>
              </w:rPr>
              <w:t>区域</w:t>
            </w:r>
            <w:r>
              <w:rPr>
                <w:rFonts w:hint="eastAsia" w:eastAsia="仿宋_GB2312"/>
                <w:color w:val="auto"/>
                <w:kern w:val="0"/>
                <w:sz w:val="20"/>
              </w:rPr>
              <w:t>大学生公共管理大赛</w:t>
            </w:r>
            <w:r>
              <w:rPr>
                <w:rFonts w:hint="eastAsia" w:eastAsia="仿宋_GB2312"/>
                <w:color w:val="auto"/>
                <w:kern w:val="0"/>
                <w:sz w:val="20"/>
                <w:lang w:eastAsia="zh-CN"/>
              </w:rPr>
              <w:t>（</w:t>
            </w:r>
            <w:r>
              <w:rPr>
                <w:rFonts w:hint="eastAsia" w:eastAsia="仿宋_GB2312"/>
                <w:color w:val="auto"/>
                <w:kern w:val="0"/>
                <w:sz w:val="20"/>
                <w:lang w:val="en-US" w:eastAsia="zh-CN"/>
              </w:rPr>
              <w:t>西北赛区、华中赛区、华东赛区、东北赛区、南部赛区和华北赛区）</w:t>
            </w:r>
          </w:p>
        </w:tc>
        <w:tc>
          <w:tcPr>
            <w:tcW w:w="2195" w:type="pct"/>
            <w:vAlign w:val="center"/>
          </w:tcPr>
          <w:p>
            <w:pPr>
              <w:jc w:val="center"/>
              <w:rPr>
                <w:rFonts w:hint="eastAsia" w:eastAsia="仿宋_GB2312"/>
                <w:color w:val="auto"/>
                <w:kern w:val="0"/>
                <w:sz w:val="20"/>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全国大学生城市治理案例挑战大赛（上海交通大学）</w:t>
            </w:r>
          </w:p>
        </w:tc>
        <w:tc>
          <w:tcPr>
            <w:tcW w:w="2195"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“策论中国”案例大赛（浙江大学）</w:t>
            </w:r>
          </w:p>
        </w:tc>
        <w:tc>
          <w:tcPr>
            <w:tcW w:w="2195"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全国社会公共安全案例大赛（教育部公共管理类学科专业教学指导委员会、华东政法大学）</w:t>
            </w:r>
          </w:p>
        </w:tc>
        <w:tc>
          <w:tcPr>
            <w:tcW w:w="2195"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全国高校“模拟市长”大赛（中央财经大学）</w:t>
            </w:r>
          </w:p>
        </w:tc>
        <w:tc>
          <w:tcPr>
            <w:tcW w:w="2195"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四川省公共管理案例挑战大赛（四川省教育厅、西南财经大学）</w:t>
            </w:r>
          </w:p>
        </w:tc>
        <w:tc>
          <w:tcPr>
            <w:tcW w:w="2195"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default" w:eastAsia="仿宋_GB2312"/>
                <w:color w:val="auto"/>
                <w:kern w:val="0"/>
                <w:sz w:val="20"/>
              </w:rPr>
              <w:t>中国大学生公共管理案例大赛</w:t>
            </w:r>
            <w:r>
              <w:rPr>
                <w:rFonts w:hint="eastAsia" w:eastAsia="仿宋_GB2312"/>
                <w:color w:val="auto"/>
                <w:kern w:val="0"/>
                <w:sz w:val="20"/>
                <w:lang w:eastAsia="zh-CN"/>
              </w:rPr>
              <w:t>（</w:t>
            </w:r>
            <w:r>
              <w:rPr>
                <w:rFonts w:hint="eastAsia" w:eastAsia="仿宋_GB2312"/>
                <w:color w:val="auto"/>
                <w:kern w:val="0"/>
                <w:sz w:val="20"/>
                <w:lang w:val="en-US" w:eastAsia="zh-CN"/>
              </w:rPr>
              <w:t>广州新华学院</w:t>
            </w:r>
            <w:r>
              <w:rPr>
                <w:rFonts w:hint="eastAsia" w:eastAsia="仿宋_GB2312"/>
                <w:color w:val="auto"/>
                <w:kern w:val="0"/>
                <w:sz w:val="20"/>
                <w:lang w:eastAsia="zh-CN"/>
              </w:rPr>
              <w:t>）</w:t>
            </w:r>
          </w:p>
        </w:tc>
        <w:tc>
          <w:tcPr>
            <w:tcW w:w="2195" w:type="pct"/>
            <w:vAlign w:val="center"/>
          </w:tcPr>
          <w:p>
            <w:pPr>
              <w:jc w:val="center"/>
              <w:rPr>
                <w:rFonts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“国地杯”全国大学生土地国情调查大赛（教育部高等学校公共管理类专业教学指导委员会）</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大学生社会保障案例大赛（河海大学、南京大学、南京农业大学、江苏省老年学学会等联合）</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“全国大学生社会保障优秀调查报告与案例分析报告征集”活动（中国社会保障学会）</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城市管理案例创新大赛（广州市城市管理和综合执法局、广州城市管理研究联盟、广州大学、暨南大学）</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一等奖6分、二等奖4分、三等奖2分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color w:val="auto"/>
                <w:kern w:val="0"/>
                <w:sz w:val="20"/>
                <w:lang w:eastAsia="zh-CN"/>
              </w:rPr>
            </w:pPr>
            <w:r>
              <w:rPr>
                <w:rFonts w:hint="eastAsia" w:eastAsia="仿宋_GB2312"/>
                <w:color w:val="auto"/>
                <w:kern w:val="0"/>
                <w:sz w:val="20"/>
              </w:rPr>
              <w:t>中国政治学本科生学术研讨会</w:t>
            </w:r>
            <w:r>
              <w:rPr>
                <w:rFonts w:hint="eastAsia" w:eastAsia="仿宋_GB2312"/>
                <w:color w:val="auto"/>
                <w:kern w:val="0"/>
                <w:sz w:val="20"/>
                <w:lang w:eastAsia="zh-CN"/>
              </w:rPr>
              <w:t>（华南师范大学）</w:t>
            </w:r>
          </w:p>
        </w:tc>
        <w:tc>
          <w:tcPr>
            <w:tcW w:w="2195" w:type="pct"/>
            <w:vAlign w:val="center"/>
          </w:tcPr>
          <w:p>
            <w:pPr>
              <w:jc w:val="center"/>
              <w:rPr>
                <w:rFonts w:hint="eastAsia" w:eastAsia="仿宋_GB2312"/>
                <w:color w:val="auto"/>
                <w:kern w:val="0"/>
                <w:sz w:val="20"/>
                <w:lang w:eastAsia="zh-CN"/>
              </w:rPr>
            </w:pPr>
            <w:r>
              <w:rPr>
                <w:rFonts w:hint="eastAsia" w:eastAsia="仿宋_GB2312"/>
                <w:color w:val="auto"/>
                <w:kern w:val="0"/>
                <w:sz w:val="20"/>
              </w:rPr>
              <w:t>一等奖</w:t>
            </w:r>
            <w:r>
              <w:rPr>
                <w:rFonts w:hint="eastAsia" w:eastAsia="仿宋_GB2312"/>
                <w:color w:val="auto"/>
                <w:kern w:val="0"/>
                <w:sz w:val="20"/>
                <w:lang w:val="en-US" w:eastAsia="zh-CN"/>
              </w:rPr>
              <w:t>3</w:t>
            </w:r>
            <w:r>
              <w:rPr>
                <w:rFonts w:hint="eastAsia" w:eastAsia="仿宋_GB2312"/>
                <w:color w:val="auto"/>
                <w:kern w:val="0"/>
                <w:sz w:val="20"/>
              </w:rPr>
              <w:t>分、二等奖</w:t>
            </w:r>
            <w:r>
              <w:rPr>
                <w:rFonts w:hint="eastAsia" w:eastAsia="仿宋_GB2312"/>
                <w:color w:val="auto"/>
                <w:kern w:val="0"/>
                <w:sz w:val="20"/>
                <w:lang w:val="en-US" w:eastAsia="zh-CN"/>
              </w:rPr>
              <w:t>2</w:t>
            </w:r>
            <w:r>
              <w:rPr>
                <w:rFonts w:hint="eastAsia" w:eastAsia="仿宋_GB2312"/>
                <w:color w:val="auto"/>
                <w:kern w:val="0"/>
                <w:sz w:val="20"/>
              </w:rPr>
              <w:t>分、三等奖</w:t>
            </w:r>
            <w:r>
              <w:rPr>
                <w:rFonts w:hint="eastAsia" w:eastAsia="仿宋_GB2312"/>
                <w:color w:val="auto"/>
                <w:kern w:val="0"/>
                <w:sz w:val="20"/>
                <w:lang w:val="en-US" w:eastAsia="zh-CN"/>
              </w:rPr>
              <w:t>1</w:t>
            </w:r>
            <w:r>
              <w:rPr>
                <w:rFonts w:hint="eastAsia" w:eastAsia="仿宋_GB2312"/>
                <w:color w:val="auto"/>
                <w:kern w:val="0"/>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color w:val="auto"/>
                <w:kern w:val="0"/>
                <w:sz w:val="20"/>
                <w:lang w:eastAsia="zh-CN"/>
              </w:rPr>
            </w:pPr>
            <w:r>
              <w:rPr>
                <w:rFonts w:hint="eastAsia" w:eastAsia="仿宋_GB2312"/>
                <w:color w:val="auto"/>
                <w:kern w:val="0"/>
                <w:sz w:val="20"/>
              </w:rPr>
              <w:t>“北辰”政治学与公共管理本科生论坛</w:t>
            </w:r>
            <w:r>
              <w:rPr>
                <w:rFonts w:hint="eastAsia" w:eastAsia="仿宋_GB2312"/>
                <w:color w:val="auto"/>
                <w:kern w:val="0"/>
                <w:sz w:val="20"/>
                <w:lang w:eastAsia="zh-CN"/>
              </w:rPr>
              <w:t>（</w:t>
            </w:r>
            <w:r>
              <w:rPr>
                <w:rFonts w:hint="eastAsia" w:eastAsia="仿宋_GB2312"/>
                <w:color w:val="auto"/>
                <w:kern w:val="0"/>
                <w:sz w:val="20"/>
                <w:lang w:val="en-US" w:eastAsia="zh-CN"/>
              </w:rPr>
              <w:t>吉林大学</w:t>
            </w:r>
            <w:r>
              <w:rPr>
                <w:rFonts w:hint="eastAsia" w:eastAsia="仿宋_GB2312"/>
                <w:color w:val="auto"/>
                <w:kern w:val="0"/>
                <w:sz w:val="20"/>
                <w:lang w:eastAsia="zh-CN"/>
              </w:rPr>
              <w:t>）</w:t>
            </w:r>
          </w:p>
        </w:tc>
        <w:tc>
          <w:tcPr>
            <w:tcW w:w="2195" w:type="pct"/>
            <w:vAlign w:val="center"/>
          </w:tcPr>
          <w:p>
            <w:pPr>
              <w:jc w:val="center"/>
              <w:rPr>
                <w:rFonts w:hint="eastAsia" w:eastAsia="仿宋_GB2312"/>
                <w:color w:val="auto"/>
                <w:kern w:val="0"/>
                <w:sz w:val="20"/>
              </w:rPr>
            </w:pPr>
            <w:r>
              <w:rPr>
                <w:rFonts w:hint="eastAsia" w:eastAsia="仿宋_GB2312"/>
                <w:color w:val="auto"/>
                <w:kern w:val="0"/>
                <w:sz w:val="20"/>
              </w:rPr>
              <w:t>一等奖</w:t>
            </w:r>
            <w:r>
              <w:rPr>
                <w:rFonts w:hint="eastAsia" w:eastAsia="仿宋_GB2312"/>
                <w:color w:val="auto"/>
                <w:kern w:val="0"/>
                <w:sz w:val="20"/>
                <w:lang w:val="en-US" w:eastAsia="zh-CN"/>
              </w:rPr>
              <w:t>3</w:t>
            </w:r>
            <w:r>
              <w:rPr>
                <w:rFonts w:hint="eastAsia" w:eastAsia="仿宋_GB2312"/>
                <w:color w:val="auto"/>
                <w:kern w:val="0"/>
                <w:sz w:val="20"/>
              </w:rPr>
              <w:t>分、二等奖</w:t>
            </w:r>
            <w:r>
              <w:rPr>
                <w:rFonts w:hint="eastAsia" w:eastAsia="仿宋_GB2312"/>
                <w:color w:val="auto"/>
                <w:kern w:val="0"/>
                <w:sz w:val="20"/>
                <w:lang w:val="en-US" w:eastAsia="zh-CN"/>
              </w:rPr>
              <w:t>2</w:t>
            </w:r>
            <w:r>
              <w:rPr>
                <w:rFonts w:hint="eastAsia" w:eastAsia="仿宋_GB2312"/>
                <w:color w:val="auto"/>
                <w:kern w:val="0"/>
                <w:sz w:val="20"/>
              </w:rPr>
              <w:t>分、三等奖</w:t>
            </w:r>
            <w:r>
              <w:rPr>
                <w:rFonts w:hint="eastAsia" w:eastAsia="仿宋_GB2312"/>
                <w:color w:val="auto"/>
                <w:kern w:val="0"/>
                <w:sz w:val="20"/>
                <w:lang w:val="en-US" w:eastAsia="zh-CN"/>
              </w:rPr>
              <w:t>1</w:t>
            </w:r>
            <w:r>
              <w:rPr>
                <w:rFonts w:hint="eastAsia" w:eastAsia="仿宋_GB2312"/>
                <w:color w:val="auto"/>
                <w:kern w:val="0"/>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eastAsia="仿宋_GB2312"/>
                <w:color w:val="auto"/>
                <w:kern w:val="0"/>
                <w:sz w:val="20"/>
              </w:rPr>
            </w:pPr>
            <w:r>
              <w:rPr>
                <w:rFonts w:hint="eastAsia" w:eastAsia="仿宋_GB2312"/>
                <w:color w:val="auto"/>
                <w:kern w:val="0"/>
                <w:sz w:val="20"/>
              </w:rPr>
              <w:t>本学院举办的校级公共管理案例大赛、社会保障案例大赛专业相关学科竞赛</w:t>
            </w:r>
          </w:p>
        </w:tc>
        <w:tc>
          <w:tcPr>
            <w:tcW w:w="2195" w:type="pct"/>
            <w:vAlign w:val="center"/>
          </w:tcPr>
          <w:p>
            <w:pPr>
              <w:jc w:val="center"/>
              <w:rPr>
                <w:rFonts w:eastAsia="仿宋_GB2312"/>
                <w:color w:val="auto"/>
                <w:kern w:val="0"/>
                <w:sz w:val="20"/>
              </w:rPr>
            </w:pPr>
            <w:r>
              <w:rPr>
                <w:rFonts w:hint="eastAsia" w:eastAsia="仿宋_GB2312"/>
                <w:color w:val="auto"/>
                <w:kern w:val="0"/>
                <w:sz w:val="20"/>
              </w:rPr>
              <w:t>一等奖</w:t>
            </w:r>
            <w:r>
              <w:rPr>
                <w:rFonts w:hint="eastAsia" w:eastAsia="仿宋_GB2312"/>
                <w:color w:val="auto"/>
                <w:kern w:val="0"/>
                <w:sz w:val="20"/>
                <w:lang w:val="en-US" w:eastAsia="zh-CN"/>
              </w:rPr>
              <w:t>1</w:t>
            </w:r>
            <w:r>
              <w:rPr>
                <w:rFonts w:hint="eastAsia" w:eastAsia="仿宋_GB2312"/>
                <w:color w:val="auto"/>
                <w:kern w:val="0"/>
                <w:sz w:val="20"/>
              </w:rPr>
              <w:t>分</w:t>
            </w:r>
            <w:r>
              <w:rPr>
                <w:rFonts w:hint="eastAsia" w:eastAsia="仿宋_GB2312"/>
                <w:color w:val="auto"/>
                <w:kern w:val="0"/>
                <w:sz w:val="20"/>
                <w:lang w:eastAsia="zh-CN"/>
              </w:rPr>
              <w:t>，</w:t>
            </w:r>
            <w:r>
              <w:rPr>
                <w:rFonts w:hint="eastAsia" w:eastAsia="仿宋_GB2312"/>
                <w:color w:val="auto"/>
                <w:kern w:val="0"/>
                <w:sz w:val="20"/>
              </w:rPr>
              <w:t>其他获奖不加分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04" w:type="pct"/>
            <w:vAlign w:val="center"/>
          </w:tcPr>
          <w:p>
            <w:pPr>
              <w:jc w:val="center"/>
              <w:rPr>
                <w:rFonts w:hint="eastAsia" w:eastAsia="仿宋_GB2312"/>
                <w:color w:val="auto"/>
                <w:kern w:val="0"/>
                <w:sz w:val="20"/>
              </w:rPr>
            </w:pPr>
            <w:r>
              <w:rPr>
                <w:rFonts w:hint="eastAsia" w:eastAsia="仿宋_GB2312"/>
                <w:color w:val="auto"/>
                <w:kern w:val="0"/>
                <w:sz w:val="20"/>
              </w:rPr>
              <w:t>西南财经大学本科生论文大赛</w:t>
            </w:r>
          </w:p>
        </w:tc>
        <w:tc>
          <w:tcPr>
            <w:tcW w:w="2195" w:type="pct"/>
            <w:vAlign w:val="center"/>
          </w:tcPr>
          <w:p>
            <w:pPr>
              <w:jc w:val="center"/>
              <w:rPr>
                <w:rFonts w:hint="eastAsia" w:eastAsia="仿宋_GB2312"/>
                <w:color w:val="auto"/>
                <w:kern w:val="0"/>
                <w:sz w:val="20"/>
              </w:rPr>
            </w:pPr>
            <w:r>
              <w:rPr>
                <w:rFonts w:hint="eastAsia" w:eastAsia="仿宋_GB2312"/>
                <w:color w:val="auto"/>
                <w:kern w:val="0"/>
                <w:sz w:val="20"/>
              </w:rPr>
              <w:t>一等奖</w:t>
            </w:r>
            <w:r>
              <w:rPr>
                <w:rFonts w:hint="eastAsia" w:eastAsia="仿宋_GB2312"/>
                <w:color w:val="auto"/>
                <w:kern w:val="0"/>
                <w:sz w:val="20"/>
                <w:lang w:val="en-US" w:eastAsia="zh-CN"/>
              </w:rPr>
              <w:t>1</w:t>
            </w:r>
            <w:r>
              <w:rPr>
                <w:rFonts w:hint="eastAsia" w:eastAsia="仿宋_GB2312"/>
                <w:color w:val="auto"/>
                <w:kern w:val="0"/>
                <w:sz w:val="20"/>
              </w:rPr>
              <w:t>分</w:t>
            </w:r>
            <w:r>
              <w:rPr>
                <w:rFonts w:hint="eastAsia" w:eastAsia="仿宋_GB2312"/>
                <w:color w:val="auto"/>
                <w:kern w:val="0"/>
                <w:sz w:val="20"/>
                <w:lang w:eastAsia="zh-CN"/>
              </w:rPr>
              <w:t>，</w:t>
            </w:r>
            <w:r>
              <w:rPr>
                <w:rFonts w:hint="eastAsia" w:eastAsia="仿宋_GB2312"/>
                <w:color w:val="auto"/>
                <w:kern w:val="0"/>
                <w:sz w:val="20"/>
              </w:rPr>
              <w:t>其他获奖不加分</w:t>
            </w:r>
          </w:p>
        </w:tc>
      </w:tr>
    </w:tbl>
    <w:p>
      <w:pPr>
        <w:spacing w:line="560" w:lineRule="exact"/>
        <w:ind w:firstLine="560" w:firstLineChars="200"/>
        <w:rPr>
          <w:rFonts w:ascii="Times New Roman" w:hAnsi="Times New Roman" w:eastAsia="仿宋_GB2312"/>
          <w:bCs/>
          <w:color w:val="auto"/>
          <w:kern w:val="0"/>
          <w:sz w:val="28"/>
          <w:szCs w:val="28"/>
        </w:rPr>
      </w:pPr>
      <w:r>
        <w:rPr>
          <w:rFonts w:hint="eastAsia" w:ascii="Times New Roman" w:hAnsi="Times New Roman" w:eastAsia="仿宋_GB2312"/>
          <w:color w:val="auto"/>
          <w:sz w:val="28"/>
          <w:szCs w:val="28"/>
        </w:rPr>
        <w:t>（2）</w:t>
      </w:r>
      <w:r>
        <w:rPr>
          <w:rFonts w:hint="eastAsia" w:ascii="Times New Roman" w:hAnsi="Times New Roman" w:eastAsia="仿宋_GB2312"/>
          <w:bCs/>
          <w:color w:val="auto"/>
          <w:kern w:val="0"/>
          <w:sz w:val="28"/>
          <w:szCs w:val="28"/>
        </w:rPr>
        <w:t>获得全国大学生电子设计竞赛计：</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2864"/>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p>
        </w:tc>
        <w:tc>
          <w:tcPr>
            <w:tcW w:w="1680"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534" w:type="pct"/>
            <w:vAlign w:val="center"/>
          </w:tcPr>
          <w:p>
            <w:pPr>
              <w:jc w:val="center"/>
              <w:rPr>
                <w:rFonts w:eastAsia="仿宋_GB2312"/>
                <w:color w:val="auto"/>
                <w:kern w:val="0"/>
                <w:sz w:val="20"/>
              </w:rPr>
            </w:pPr>
            <w:r>
              <w:rPr>
                <w:rFonts w:hint="eastAsia" w:eastAsia="仿宋_GB2312"/>
                <w:color w:val="auto"/>
                <w:kern w:val="0"/>
                <w:sz w:val="20"/>
              </w:rPr>
              <w:t>省级（赛区）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r>
              <w:rPr>
                <w:rFonts w:hint="eastAsia" w:eastAsia="仿宋_GB2312"/>
                <w:color w:val="auto"/>
                <w:kern w:val="0"/>
                <w:sz w:val="20"/>
              </w:rPr>
              <w:t>一等奖或第一名</w:t>
            </w:r>
          </w:p>
        </w:tc>
        <w:tc>
          <w:tcPr>
            <w:tcW w:w="1680" w:type="pct"/>
            <w:vAlign w:val="center"/>
          </w:tcPr>
          <w:p>
            <w:pPr>
              <w:jc w:val="center"/>
              <w:rPr>
                <w:rFonts w:eastAsia="仿宋_GB2312"/>
                <w:color w:val="auto"/>
                <w:kern w:val="0"/>
                <w:sz w:val="20"/>
              </w:rPr>
            </w:pPr>
            <w:r>
              <w:rPr>
                <w:rFonts w:hint="eastAsia" w:eastAsia="仿宋_GB2312"/>
                <w:color w:val="auto"/>
                <w:kern w:val="0"/>
                <w:sz w:val="20"/>
              </w:rPr>
              <w:t>50</w:t>
            </w:r>
          </w:p>
        </w:tc>
        <w:tc>
          <w:tcPr>
            <w:tcW w:w="1534" w:type="pct"/>
            <w:vAlign w:val="center"/>
          </w:tcPr>
          <w:p>
            <w:pPr>
              <w:jc w:val="center"/>
              <w:rPr>
                <w:rFonts w:eastAsia="仿宋_GB2312"/>
                <w:color w:val="auto"/>
                <w:kern w:val="0"/>
                <w:sz w:val="20"/>
              </w:rPr>
            </w:pPr>
            <w:r>
              <w:rPr>
                <w:rFonts w:hint="eastAsia" w:eastAsia="仿宋_GB2312"/>
                <w:color w:val="auto"/>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二等奖或第二名</w:t>
            </w:r>
          </w:p>
        </w:tc>
        <w:tc>
          <w:tcPr>
            <w:tcW w:w="1680"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35</w:t>
            </w:r>
          </w:p>
        </w:tc>
        <w:tc>
          <w:tcPr>
            <w:tcW w:w="1534"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r>
              <w:rPr>
                <w:rFonts w:hint="eastAsia" w:eastAsia="仿宋_GB2312"/>
                <w:color w:val="auto"/>
                <w:kern w:val="0"/>
                <w:sz w:val="20"/>
                <w:lang w:val="en-US" w:eastAsia="zh-CN"/>
              </w:rPr>
              <w:t>三等奖或第三名</w:t>
            </w:r>
          </w:p>
        </w:tc>
        <w:tc>
          <w:tcPr>
            <w:tcW w:w="1680"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25</w:t>
            </w:r>
          </w:p>
        </w:tc>
        <w:tc>
          <w:tcPr>
            <w:tcW w:w="1534" w:type="pct"/>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（3）</w:t>
      </w:r>
      <w:bookmarkStart w:id="3" w:name="_Hlk108101334"/>
      <w:r>
        <w:rPr>
          <w:rFonts w:hint="eastAsia" w:ascii="Times New Roman" w:hAnsi="Times New Roman" w:eastAsia="仿宋_GB2312"/>
          <w:color w:val="auto"/>
          <w:sz w:val="28"/>
          <w:szCs w:val="28"/>
        </w:rPr>
        <w:t>进入全国大学生数学竞赛决赛的学生或获得全国大学生数学建模竞赛一等奖的学生按国家级</w:t>
      </w:r>
      <w:r>
        <w:rPr>
          <w:rFonts w:ascii="Times New Roman" w:hAnsi="Times New Roman" w:eastAsia="仿宋_GB2312"/>
          <w:color w:val="auto"/>
          <w:sz w:val="28"/>
          <w:szCs w:val="28"/>
        </w:rPr>
        <w:t>一等奖</w:t>
      </w:r>
      <w:r>
        <w:rPr>
          <w:rFonts w:hint="eastAsia" w:ascii="Times New Roman" w:hAnsi="Times New Roman" w:eastAsia="仿宋_GB2312"/>
          <w:color w:val="auto"/>
          <w:sz w:val="28"/>
          <w:szCs w:val="28"/>
        </w:rPr>
        <w:t>计分。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2864"/>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p>
        </w:tc>
        <w:tc>
          <w:tcPr>
            <w:tcW w:w="1680"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534" w:type="pct"/>
            <w:vAlign w:val="center"/>
          </w:tcPr>
          <w:p>
            <w:pPr>
              <w:jc w:val="center"/>
              <w:rPr>
                <w:rFonts w:eastAsia="仿宋_GB2312"/>
                <w:color w:val="auto"/>
                <w:kern w:val="0"/>
                <w:sz w:val="20"/>
              </w:rPr>
            </w:pPr>
            <w:r>
              <w:rPr>
                <w:rFonts w:hint="eastAsia" w:eastAsia="仿宋_GB2312"/>
                <w:color w:val="auto"/>
                <w:kern w:val="0"/>
                <w:sz w:val="20"/>
              </w:rPr>
              <w:t>省级（赛区）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r>
              <w:rPr>
                <w:rFonts w:hint="eastAsia" w:eastAsia="仿宋_GB2312"/>
                <w:color w:val="auto"/>
                <w:kern w:val="0"/>
                <w:sz w:val="20"/>
              </w:rPr>
              <w:t>一等奖或第一名</w:t>
            </w:r>
          </w:p>
        </w:tc>
        <w:tc>
          <w:tcPr>
            <w:tcW w:w="1680" w:type="pct"/>
            <w:vAlign w:val="center"/>
          </w:tcPr>
          <w:p>
            <w:pPr>
              <w:jc w:val="center"/>
              <w:rPr>
                <w:rFonts w:eastAsia="仿宋_GB2312"/>
                <w:color w:val="auto"/>
                <w:kern w:val="0"/>
                <w:sz w:val="20"/>
              </w:rPr>
            </w:pPr>
            <w:r>
              <w:rPr>
                <w:rFonts w:hint="eastAsia" w:eastAsia="仿宋_GB2312"/>
                <w:color w:val="auto"/>
                <w:kern w:val="0"/>
                <w:sz w:val="20"/>
              </w:rPr>
              <w:t>50</w:t>
            </w:r>
          </w:p>
        </w:tc>
        <w:tc>
          <w:tcPr>
            <w:tcW w:w="1534" w:type="pct"/>
            <w:vAlign w:val="center"/>
          </w:tcPr>
          <w:p>
            <w:pPr>
              <w:jc w:val="center"/>
              <w:rPr>
                <w:rFonts w:eastAsia="仿宋_GB2312"/>
                <w:color w:val="auto"/>
                <w:kern w:val="0"/>
                <w:sz w:val="20"/>
              </w:rPr>
            </w:pPr>
            <w:r>
              <w:rPr>
                <w:rFonts w:hint="eastAsia" w:eastAsia="仿宋_GB2312"/>
                <w:color w:val="auto"/>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二等奖或第二名</w:t>
            </w:r>
          </w:p>
        </w:tc>
        <w:tc>
          <w:tcPr>
            <w:tcW w:w="1680"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35</w:t>
            </w:r>
          </w:p>
        </w:tc>
        <w:tc>
          <w:tcPr>
            <w:tcW w:w="1534"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r>
              <w:rPr>
                <w:rFonts w:hint="eastAsia" w:eastAsia="仿宋_GB2312"/>
                <w:color w:val="auto"/>
                <w:kern w:val="0"/>
                <w:sz w:val="20"/>
                <w:lang w:val="en-US" w:eastAsia="zh-CN"/>
              </w:rPr>
              <w:t>三等奖或第三名</w:t>
            </w:r>
          </w:p>
        </w:tc>
        <w:tc>
          <w:tcPr>
            <w:tcW w:w="1680"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25</w:t>
            </w:r>
          </w:p>
        </w:tc>
        <w:tc>
          <w:tcPr>
            <w:tcW w:w="1534" w:type="pct"/>
            <w:vAlign w:val="center"/>
          </w:tcPr>
          <w:p>
            <w:pPr>
              <w:jc w:val="center"/>
              <w:rPr>
                <w:rFonts w:eastAsia="仿宋_GB2312"/>
                <w:color w:val="auto"/>
                <w:kern w:val="0"/>
                <w:sz w:val="20"/>
              </w:rPr>
            </w:pPr>
            <w:r>
              <w:rPr>
                <w:rFonts w:hint="eastAsia" w:eastAsia="仿宋_GB2312"/>
                <w:color w:val="auto"/>
                <w:kern w:val="0"/>
                <w:sz w:val="20"/>
              </w:rPr>
              <w:t>10</w:t>
            </w:r>
          </w:p>
        </w:tc>
      </w:tr>
      <w:bookmarkEnd w:id="3"/>
    </w:tbl>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（4）获得“外研社杯”全国大学生英语辩论赛冠亚军获得者、“</w:t>
      </w:r>
      <w:r>
        <w:rPr>
          <w:rFonts w:ascii="Times New Roman" w:hAnsi="Times New Roman" w:eastAsia="仿宋_GB2312"/>
          <w:color w:val="auto"/>
          <w:sz w:val="28"/>
          <w:szCs w:val="28"/>
        </w:rPr>
        <w:t>CCTV杯”全国英语演讲比赛冠亚军获得者</w:t>
      </w:r>
      <w:r>
        <w:rPr>
          <w:rFonts w:hint="eastAsia" w:ascii="Times New Roman" w:hAnsi="Times New Roman" w:eastAsia="仿宋_GB2312"/>
          <w:color w:val="auto"/>
          <w:sz w:val="28"/>
          <w:szCs w:val="28"/>
        </w:rPr>
        <w:t>、获得“</w:t>
      </w:r>
      <w:r>
        <w:rPr>
          <w:rFonts w:ascii="Times New Roman" w:hAnsi="Times New Roman" w:eastAsia="仿宋_GB2312"/>
          <w:color w:val="auto"/>
          <w:sz w:val="28"/>
          <w:szCs w:val="28"/>
        </w:rPr>
        <w:t>CCTV”国际大专辩论赛冠亚军团队学生或最佳辩手</w:t>
      </w:r>
      <w:r>
        <w:rPr>
          <w:rFonts w:hint="eastAsia" w:ascii="Times New Roman" w:hAnsi="Times New Roman" w:eastAsia="仿宋_GB2312"/>
          <w:color w:val="auto"/>
          <w:sz w:val="28"/>
          <w:szCs w:val="28"/>
        </w:rPr>
        <w:t>按国家级</w:t>
      </w:r>
      <w:r>
        <w:rPr>
          <w:rFonts w:ascii="Times New Roman" w:hAnsi="Times New Roman" w:eastAsia="仿宋_GB2312"/>
          <w:color w:val="auto"/>
          <w:sz w:val="28"/>
          <w:szCs w:val="28"/>
        </w:rPr>
        <w:t>一等奖</w:t>
      </w:r>
      <w:r>
        <w:rPr>
          <w:rFonts w:hint="eastAsia" w:ascii="Times New Roman" w:hAnsi="Times New Roman" w:eastAsia="仿宋_GB2312"/>
          <w:color w:val="auto"/>
          <w:sz w:val="28"/>
          <w:szCs w:val="28"/>
        </w:rPr>
        <w:t>计分。</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2"/>
        <w:gridCol w:w="2864"/>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p>
        </w:tc>
        <w:tc>
          <w:tcPr>
            <w:tcW w:w="1680"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534" w:type="pct"/>
            <w:vAlign w:val="center"/>
          </w:tcPr>
          <w:p>
            <w:pPr>
              <w:jc w:val="center"/>
              <w:rPr>
                <w:rFonts w:eastAsia="仿宋_GB2312"/>
                <w:color w:val="auto"/>
                <w:kern w:val="0"/>
                <w:sz w:val="20"/>
              </w:rPr>
            </w:pPr>
            <w:r>
              <w:rPr>
                <w:rFonts w:hint="eastAsia" w:eastAsia="仿宋_GB2312"/>
                <w:color w:val="auto"/>
                <w:kern w:val="0"/>
                <w:sz w:val="20"/>
              </w:rPr>
              <w:t>省级（赛区）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r>
              <w:rPr>
                <w:rFonts w:hint="eastAsia" w:eastAsia="仿宋_GB2312"/>
                <w:color w:val="auto"/>
                <w:kern w:val="0"/>
                <w:sz w:val="20"/>
              </w:rPr>
              <w:t>一等奖或第一名</w:t>
            </w:r>
          </w:p>
        </w:tc>
        <w:tc>
          <w:tcPr>
            <w:tcW w:w="1680" w:type="pct"/>
            <w:vAlign w:val="center"/>
          </w:tcPr>
          <w:p>
            <w:pPr>
              <w:jc w:val="center"/>
              <w:rPr>
                <w:rFonts w:eastAsia="仿宋_GB2312"/>
                <w:color w:val="auto"/>
                <w:kern w:val="0"/>
                <w:sz w:val="20"/>
              </w:rPr>
            </w:pPr>
            <w:r>
              <w:rPr>
                <w:rFonts w:hint="eastAsia" w:eastAsia="仿宋_GB2312"/>
                <w:color w:val="auto"/>
                <w:kern w:val="0"/>
                <w:sz w:val="20"/>
              </w:rPr>
              <w:t>50</w:t>
            </w:r>
          </w:p>
        </w:tc>
        <w:tc>
          <w:tcPr>
            <w:tcW w:w="1534" w:type="pct"/>
            <w:vAlign w:val="center"/>
          </w:tcPr>
          <w:p>
            <w:pPr>
              <w:jc w:val="center"/>
              <w:rPr>
                <w:rFonts w:eastAsia="仿宋_GB2312"/>
                <w:color w:val="auto"/>
                <w:kern w:val="0"/>
                <w:sz w:val="20"/>
              </w:rPr>
            </w:pPr>
            <w:r>
              <w:rPr>
                <w:rFonts w:hint="eastAsia" w:eastAsia="仿宋_GB2312"/>
                <w:color w:val="auto"/>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二等奖或第二名</w:t>
            </w:r>
          </w:p>
        </w:tc>
        <w:tc>
          <w:tcPr>
            <w:tcW w:w="1680"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35</w:t>
            </w:r>
          </w:p>
        </w:tc>
        <w:tc>
          <w:tcPr>
            <w:tcW w:w="1534"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84" w:type="pct"/>
            <w:vAlign w:val="center"/>
          </w:tcPr>
          <w:p>
            <w:pPr>
              <w:jc w:val="center"/>
              <w:rPr>
                <w:rFonts w:eastAsia="仿宋_GB2312"/>
                <w:color w:val="auto"/>
                <w:kern w:val="0"/>
                <w:sz w:val="20"/>
              </w:rPr>
            </w:pPr>
            <w:r>
              <w:rPr>
                <w:rFonts w:hint="eastAsia" w:eastAsia="仿宋_GB2312"/>
                <w:color w:val="auto"/>
                <w:kern w:val="0"/>
                <w:sz w:val="20"/>
                <w:lang w:val="en-US" w:eastAsia="zh-CN"/>
              </w:rPr>
              <w:t>三等奖或第三名</w:t>
            </w:r>
          </w:p>
        </w:tc>
        <w:tc>
          <w:tcPr>
            <w:tcW w:w="1680"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25</w:t>
            </w:r>
          </w:p>
        </w:tc>
        <w:tc>
          <w:tcPr>
            <w:tcW w:w="1534" w:type="pct"/>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jc w:val="left"/>
        <w:rPr>
          <w:rFonts w:ascii="Times New Roman" w:hAnsi="Times New Roman" w:eastAsia="仿宋_GB2312"/>
          <w:bCs/>
          <w:color w:val="auto"/>
          <w:kern w:val="0"/>
          <w:sz w:val="28"/>
          <w:szCs w:val="24"/>
        </w:rPr>
      </w:pPr>
      <w:r>
        <w:rPr>
          <w:rFonts w:hint="eastAsia" w:ascii="Times New Roman" w:hAnsi="Times New Roman" w:eastAsia="仿宋_GB2312"/>
          <w:bCs/>
          <w:color w:val="auto"/>
          <w:kern w:val="0"/>
          <w:sz w:val="28"/>
          <w:szCs w:val="24"/>
        </w:rPr>
        <w:t>学科竞赛类加分说明：</w:t>
      </w:r>
    </w:p>
    <w:p>
      <w:pPr>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①设特等奖的竞赛奖励标准为：特等奖按一等奖标准执行，依此类推，依次退一级执行。</w:t>
      </w:r>
    </w:p>
    <w:p>
      <w:pPr>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②同一</w:t>
      </w:r>
      <w:r>
        <w:rPr>
          <w:rFonts w:hint="eastAsia" w:ascii="Times New Roman" w:hAnsi="Times New Roman" w:eastAsia="仿宋_GB2312"/>
          <w:color w:val="auto"/>
          <w:sz w:val="24"/>
          <w:szCs w:val="22"/>
        </w:rPr>
        <w:t>学科竞赛</w:t>
      </w:r>
      <w:r>
        <w:rPr>
          <w:rFonts w:ascii="Times New Roman" w:hAnsi="Times New Roman" w:eastAsia="仿宋_GB2312"/>
          <w:bCs/>
          <w:color w:val="auto"/>
          <w:kern w:val="0"/>
          <w:sz w:val="24"/>
          <w:szCs w:val="22"/>
        </w:rPr>
        <w:t>分</w:t>
      </w:r>
      <w:r>
        <w:rPr>
          <w:rFonts w:hint="eastAsia" w:ascii="Times New Roman" w:hAnsi="Times New Roman" w:eastAsia="仿宋_GB2312"/>
          <w:bCs/>
          <w:color w:val="auto"/>
          <w:kern w:val="0"/>
          <w:sz w:val="24"/>
          <w:szCs w:val="22"/>
        </w:rPr>
        <w:t>别获得多个</w:t>
      </w:r>
      <w:r>
        <w:rPr>
          <w:rFonts w:ascii="Times New Roman" w:hAnsi="Times New Roman" w:eastAsia="仿宋_GB2312"/>
          <w:bCs/>
          <w:color w:val="auto"/>
          <w:kern w:val="0"/>
          <w:sz w:val="24"/>
          <w:szCs w:val="22"/>
        </w:rPr>
        <w:t>奖励的，</w:t>
      </w:r>
      <w:r>
        <w:rPr>
          <w:rFonts w:hint="eastAsia" w:ascii="Times New Roman" w:hAnsi="Times New Roman" w:eastAsia="仿宋_GB2312"/>
          <w:bCs/>
          <w:color w:val="auto"/>
          <w:kern w:val="0"/>
          <w:sz w:val="24"/>
          <w:szCs w:val="22"/>
        </w:rPr>
        <w:t>按照“就高不就低”的原则予以认定。</w:t>
      </w:r>
    </w:p>
    <w:p>
      <w:pPr>
        <w:autoSpaceDE w:val="0"/>
        <w:autoSpaceDN w:val="0"/>
        <w:adjustRightInd w:val="0"/>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③竞赛合作者成果认定：负责人认定为</w:t>
      </w:r>
      <w:r>
        <w:rPr>
          <w:rFonts w:ascii="Times New Roman" w:hAnsi="Times New Roman" w:eastAsia="仿宋_GB2312"/>
          <w:bCs/>
          <w:color w:val="auto"/>
          <w:kern w:val="0"/>
          <w:sz w:val="24"/>
          <w:szCs w:val="22"/>
        </w:rPr>
        <w:t>1</w:t>
      </w:r>
      <w:r>
        <w:rPr>
          <w:rFonts w:hint="eastAsia" w:ascii="Times New Roman" w:hAnsi="Times New Roman" w:eastAsia="仿宋_GB2312"/>
          <w:bCs/>
          <w:color w:val="auto"/>
          <w:kern w:val="0"/>
          <w:sz w:val="24"/>
          <w:szCs w:val="22"/>
        </w:rPr>
        <w:t>项，第一参与人认定为</w:t>
      </w:r>
      <w:r>
        <w:rPr>
          <w:rFonts w:ascii="Times New Roman" w:hAnsi="Times New Roman" w:eastAsia="仿宋_GB2312"/>
          <w:bCs/>
          <w:color w:val="auto"/>
          <w:kern w:val="0"/>
          <w:sz w:val="24"/>
          <w:szCs w:val="22"/>
        </w:rPr>
        <w:t>0.5</w:t>
      </w:r>
      <w:r>
        <w:rPr>
          <w:rFonts w:hint="eastAsia" w:ascii="Times New Roman" w:hAnsi="Times New Roman" w:eastAsia="仿宋_GB2312"/>
          <w:bCs/>
          <w:color w:val="auto"/>
          <w:kern w:val="0"/>
          <w:sz w:val="24"/>
          <w:szCs w:val="22"/>
        </w:rPr>
        <w:t>项，第二参与人认定为</w:t>
      </w:r>
      <w:r>
        <w:rPr>
          <w:rFonts w:ascii="Times New Roman" w:hAnsi="Times New Roman" w:eastAsia="仿宋_GB2312"/>
          <w:bCs/>
          <w:color w:val="auto"/>
          <w:kern w:val="0"/>
          <w:sz w:val="24"/>
          <w:szCs w:val="22"/>
        </w:rPr>
        <w:t>0.3</w:t>
      </w:r>
      <w:r>
        <w:rPr>
          <w:rFonts w:hint="eastAsia" w:ascii="Times New Roman" w:hAnsi="Times New Roman" w:eastAsia="仿宋_GB2312"/>
          <w:bCs/>
          <w:color w:val="auto"/>
          <w:kern w:val="0"/>
          <w:sz w:val="24"/>
          <w:szCs w:val="22"/>
        </w:rPr>
        <w:t>项，第三参与人认定为</w:t>
      </w:r>
      <w:r>
        <w:rPr>
          <w:rFonts w:ascii="Times New Roman" w:hAnsi="Times New Roman" w:eastAsia="仿宋_GB2312"/>
          <w:bCs/>
          <w:color w:val="auto"/>
          <w:kern w:val="0"/>
          <w:sz w:val="24"/>
          <w:szCs w:val="22"/>
        </w:rPr>
        <w:t>0.2</w:t>
      </w:r>
      <w:r>
        <w:rPr>
          <w:rFonts w:hint="eastAsia" w:ascii="Times New Roman" w:hAnsi="Times New Roman" w:eastAsia="仿宋_GB2312"/>
          <w:bCs/>
          <w:color w:val="auto"/>
          <w:kern w:val="0"/>
          <w:sz w:val="24"/>
          <w:szCs w:val="22"/>
        </w:rPr>
        <w:t>项，第四及以后者认定为</w:t>
      </w:r>
      <w:r>
        <w:rPr>
          <w:rFonts w:ascii="Times New Roman" w:hAnsi="Times New Roman" w:eastAsia="仿宋_GB2312"/>
          <w:bCs/>
          <w:color w:val="auto"/>
          <w:kern w:val="0"/>
          <w:sz w:val="24"/>
          <w:szCs w:val="22"/>
        </w:rPr>
        <w:t>0.1</w:t>
      </w:r>
      <w:r>
        <w:rPr>
          <w:rFonts w:hint="eastAsia" w:ascii="Times New Roman" w:hAnsi="Times New Roman" w:eastAsia="仿宋_GB2312"/>
          <w:bCs/>
          <w:color w:val="auto"/>
          <w:kern w:val="0"/>
          <w:sz w:val="24"/>
          <w:szCs w:val="22"/>
        </w:rPr>
        <w:t>项。</w:t>
      </w:r>
    </w:p>
    <w:p>
      <w:pPr>
        <w:autoSpaceDE w:val="0"/>
        <w:autoSpaceDN w:val="0"/>
        <w:adjustRightInd w:val="0"/>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④</w:t>
      </w:r>
      <w:r>
        <w:rPr>
          <w:rFonts w:hint="eastAsia" w:ascii="Times New Roman" w:hAnsi="Times New Roman" w:eastAsia="仿宋_GB2312"/>
          <w:color w:val="auto"/>
          <w:sz w:val="24"/>
          <w:szCs w:val="22"/>
        </w:rPr>
        <w:t>学科竞赛</w:t>
      </w:r>
      <w:r>
        <w:rPr>
          <w:rFonts w:hint="eastAsia" w:ascii="Times New Roman" w:hAnsi="Times New Roman" w:eastAsia="仿宋_GB2312"/>
          <w:bCs/>
          <w:color w:val="auto"/>
          <w:kern w:val="0"/>
          <w:sz w:val="24"/>
          <w:szCs w:val="22"/>
        </w:rPr>
        <w:t>第一署名单位须为“西南财经大学”或“西南财经大学公共管理学院”。</w:t>
      </w:r>
    </w:p>
    <w:p>
      <w:pPr>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⑤</w:t>
      </w:r>
      <w:r>
        <w:rPr>
          <w:rFonts w:hint="eastAsia" w:ascii="Times New Roman" w:hAnsi="Times New Roman" w:eastAsia="仿宋_GB2312"/>
          <w:color w:val="auto"/>
          <w:sz w:val="24"/>
          <w:szCs w:val="22"/>
        </w:rPr>
        <w:t>学科竞赛类</w:t>
      </w:r>
      <w:r>
        <w:rPr>
          <w:rFonts w:ascii="Times New Roman" w:hAnsi="Times New Roman" w:eastAsia="仿宋_GB2312"/>
          <w:bCs/>
          <w:color w:val="auto"/>
          <w:kern w:val="0"/>
          <w:sz w:val="24"/>
          <w:szCs w:val="22"/>
        </w:rPr>
        <w:t>获</w:t>
      </w:r>
      <w:r>
        <w:rPr>
          <w:rFonts w:hint="eastAsia" w:ascii="Times New Roman" w:hAnsi="Times New Roman" w:eastAsia="仿宋_GB2312"/>
          <w:bCs/>
          <w:color w:val="auto"/>
          <w:kern w:val="0"/>
          <w:sz w:val="24"/>
          <w:szCs w:val="22"/>
        </w:rPr>
        <w:t>得</w:t>
      </w:r>
      <w:r>
        <w:rPr>
          <w:rFonts w:ascii="Times New Roman" w:hAnsi="Times New Roman" w:eastAsia="仿宋_GB2312"/>
          <w:bCs/>
          <w:color w:val="auto"/>
          <w:kern w:val="0"/>
          <w:sz w:val="24"/>
          <w:szCs w:val="22"/>
        </w:rPr>
        <w:t>者</w:t>
      </w:r>
      <w:r>
        <w:rPr>
          <w:rFonts w:hint="eastAsia" w:ascii="Times New Roman" w:hAnsi="Times New Roman" w:eastAsia="仿宋_GB2312"/>
          <w:bCs/>
          <w:color w:val="auto"/>
          <w:kern w:val="0"/>
          <w:sz w:val="24"/>
          <w:szCs w:val="22"/>
        </w:rPr>
        <w:t>加分项目成果截止日期为学院报名时间截止日。</w:t>
      </w:r>
    </w:p>
    <w:p>
      <w:pPr>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⑥学科竞赛类设置专业相关学科竞赛、电子设计竞赛、数学竞赛、英语竞赛等方面</w:t>
      </w:r>
      <w:bookmarkStart w:id="4" w:name="_Hlk91664736"/>
      <w:r>
        <w:rPr>
          <w:rFonts w:hint="eastAsia" w:ascii="Times New Roman" w:hAnsi="Times New Roman" w:eastAsia="仿宋_GB2312"/>
          <w:bCs/>
          <w:color w:val="auto"/>
          <w:kern w:val="0"/>
          <w:sz w:val="24"/>
          <w:szCs w:val="22"/>
        </w:rPr>
        <w:t>，学生在不同方面获得奖项可以累积加分，在同一方面中有多项加分情况时，只取最高一项。</w:t>
      </w:r>
    </w:p>
    <w:bookmarkEnd w:id="4"/>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2</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科研成果类</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科研成果类主要包含学术论文、专利、大学生创新训练计划项目方面。其他省级及以上</w:t>
      </w:r>
      <w:r>
        <w:rPr>
          <w:rFonts w:hint="eastAsia" w:ascii="Times New Roman" w:hAnsi="Times New Roman" w:eastAsia="仿宋_GB2312"/>
          <w:color w:val="auto"/>
          <w:sz w:val="28"/>
          <w:szCs w:val="28"/>
          <w:lang w:val="en-US" w:eastAsia="zh-CN"/>
        </w:rPr>
        <w:t>科研成果</w:t>
      </w:r>
      <w:r>
        <w:rPr>
          <w:rFonts w:hint="eastAsia" w:ascii="Times New Roman" w:hAnsi="Times New Roman" w:eastAsia="仿宋_GB2312"/>
          <w:color w:val="auto"/>
          <w:sz w:val="28"/>
          <w:szCs w:val="28"/>
        </w:rPr>
        <w:t>，其适用性须经学院工作小组认定方能计分。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（1）学术论文</w:t>
      </w:r>
      <w:r>
        <w:rPr>
          <w:rFonts w:ascii="Times New Roman" w:hAnsi="Times New Roman" w:eastAsia="仿宋_GB2312"/>
          <w:color w:val="auto"/>
          <w:sz w:val="28"/>
          <w:szCs w:val="28"/>
        </w:rPr>
        <w:t>：</w:t>
      </w:r>
    </w:p>
    <w:p>
      <w:pPr>
        <w:spacing w:line="560" w:lineRule="exact"/>
        <w:ind w:firstLine="560" w:firstLineChars="200"/>
        <w:rPr>
          <w:rFonts w:ascii="Times New Roman" w:hAnsi="Times New Roman" w:eastAsia="仿宋_GB2312"/>
          <w:color w:val="auto"/>
          <w:sz w:val="28"/>
          <w:szCs w:val="28"/>
        </w:rPr>
      </w:pPr>
      <w:r>
        <w:rPr>
          <w:rFonts w:ascii="Times New Roman" w:hAnsi="Times New Roman" w:eastAsia="仿宋_GB2312"/>
          <w:color w:val="auto"/>
          <w:sz w:val="28"/>
          <w:szCs w:val="28"/>
        </w:rPr>
        <w:t>在期刊独立或以第一作者公开发表学术论文，每项计：</w:t>
      </w:r>
    </w:p>
    <w:tbl>
      <w:tblPr>
        <w:tblStyle w:val="13"/>
        <w:tblW w:w="47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1"/>
        <w:gridCol w:w="1460"/>
        <w:gridCol w:w="1462"/>
        <w:gridCol w:w="181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025" w:type="pct"/>
            <w:vAlign w:val="center"/>
          </w:tcPr>
          <w:p>
            <w:pPr>
              <w:jc w:val="center"/>
              <w:rPr>
                <w:rFonts w:eastAsia="仿宋_GB2312"/>
                <w:color w:val="auto"/>
                <w:kern w:val="0"/>
                <w:sz w:val="20"/>
              </w:rPr>
            </w:pPr>
            <w:r>
              <w:rPr>
                <w:rFonts w:hint="eastAsia" w:eastAsia="仿宋_GB2312"/>
                <w:color w:val="auto"/>
                <w:kern w:val="0"/>
                <w:sz w:val="20"/>
              </w:rPr>
              <w:t>A+级学术论文</w:t>
            </w:r>
          </w:p>
        </w:tc>
        <w:tc>
          <w:tcPr>
            <w:tcW w:w="923" w:type="pct"/>
            <w:vAlign w:val="center"/>
          </w:tcPr>
          <w:p>
            <w:pPr>
              <w:jc w:val="center"/>
              <w:rPr>
                <w:rFonts w:eastAsia="仿宋_GB2312"/>
                <w:color w:val="auto"/>
                <w:kern w:val="0"/>
                <w:sz w:val="20"/>
              </w:rPr>
            </w:pPr>
            <w:r>
              <w:rPr>
                <w:rFonts w:hint="eastAsia" w:eastAsia="仿宋_GB2312"/>
                <w:color w:val="auto"/>
                <w:kern w:val="0"/>
                <w:sz w:val="20"/>
              </w:rPr>
              <w:t>A级学术论文</w:t>
            </w:r>
          </w:p>
        </w:tc>
        <w:tc>
          <w:tcPr>
            <w:tcW w:w="925" w:type="pct"/>
            <w:vAlign w:val="center"/>
          </w:tcPr>
          <w:p>
            <w:pPr>
              <w:jc w:val="center"/>
              <w:rPr>
                <w:rFonts w:eastAsia="仿宋_GB2312"/>
                <w:color w:val="auto"/>
                <w:kern w:val="0"/>
                <w:sz w:val="20"/>
              </w:rPr>
            </w:pPr>
            <w:r>
              <w:rPr>
                <w:rFonts w:hint="eastAsia" w:eastAsia="仿宋_GB2312"/>
                <w:color w:val="auto"/>
                <w:kern w:val="0"/>
                <w:sz w:val="20"/>
              </w:rPr>
              <w:t>B级学术论文</w:t>
            </w:r>
          </w:p>
        </w:tc>
        <w:tc>
          <w:tcPr>
            <w:tcW w:w="1145" w:type="pct"/>
            <w:vAlign w:val="center"/>
          </w:tcPr>
          <w:p>
            <w:pPr>
              <w:jc w:val="center"/>
              <w:rPr>
                <w:rFonts w:eastAsia="仿宋_GB2312"/>
                <w:color w:val="auto"/>
                <w:kern w:val="0"/>
                <w:sz w:val="20"/>
              </w:rPr>
            </w:pPr>
            <w:r>
              <w:rPr>
                <w:rFonts w:hint="eastAsia" w:eastAsia="仿宋_GB2312"/>
                <w:color w:val="auto"/>
                <w:kern w:val="0"/>
                <w:sz w:val="20"/>
              </w:rPr>
              <w:t>C级学术论文</w:t>
            </w:r>
          </w:p>
        </w:tc>
        <w:tc>
          <w:tcPr>
            <w:tcW w:w="980" w:type="pct"/>
            <w:vAlign w:val="center"/>
          </w:tcPr>
          <w:p>
            <w:pPr>
              <w:jc w:val="center"/>
              <w:rPr>
                <w:rFonts w:eastAsia="仿宋_GB2312"/>
                <w:color w:val="auto"/>
                <w:kern w:val="0"/>
                <w:sz w:val="20"/>
              </w:rPr>
            </w:pPr>
            <w:r>
              <w:rPr>
                <w:rFonts w:hint="eastAsia" w:eastAsia="仿宋_GB2312"/>
                <w:color w:val="auto"/>
                <w:kern w:val="0"/>
                <w:sz w:val="20"/>
              </w:rPr>
              <w:t>北大中文核心或CSSCI扩展版论文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025" w:type="pct"/>
            <w:vAlign w:val="center"/>
          </w:tcPr>
          <w:p>
            <w:pPr>
              <w:jc w:val="center"/>
              <w:rPr>
                <w:rFonts w:eastAsia="仿宋_GB2312"/>
                <w:color w:val="auto"/>
                <w:kern w:val="0"/>
                <w:sz w:val="20"/>
              </w:rPr>
            </w:pPr>
            <w:r>
              <w:rPr>
                <w:rFonts w:hint="eastAsia" w:eastAsia="仿宋_GB2312"/>
                <w:color w:val="auto"/>
                <w:kern w:val="0"/>
                <w:sz w:val="20"/>
              </w:rPr>
              <w:t>50</w:t>
            </w:r>
          </w:p>
        </w:tc>
        <w:tc>
          <w:tcPr>
            <w:tcW w:w="923" w:type="pct"/>
            <w:vAlign w:val="center"/>
          </w:tcPr>
          <w:p>
            <w:pPr>
              <w:jc w:val="center"/>
              <w:rPr>
                <w:rFonts w:eastAsia="仿宋_GB2312"/>
                <w:color w:val="auto"/>
                <w:kern w:val="0"/>
                <w:sz w:val="20"/>
              </w:rPr>
            </w:pPr>
            <w:r>
              <w:rPr>
                <w:rFonts w:hint="eastAsia" w:eastAsia="仿宋_GB2312"/>
                <w:color w:val="auto"/>
                <w:kern w:val="0"/>
                <w:sz w:val="20"/>
              </w:rPr>
              <w:t>30分</w:t>
            </w:r>
          </w:p>
        </w:tc>
        <w:tc>
          <w:tcPr>
            <w:tcW w:w="925" w:type="pct"/>
            <w:vAlign w:val="center"/>
          </w:tcPr>
          <w:p>
            <w:pPr>
              <w:jc w:val="center"/>
              <w:rPr>
                <w:rFonts w:eastAsia="仿宋_GB2312"/>
                <w:color w:val="auto"/>
                <w:kern w:val="0"/>
                <w:sz w:val="20"/>
              </w:rPr>
            </w:pPr>
            <w:r>
              <w:rPr>
                <w:rFonts w:hint="eastAsia" w:eastAsia="仿宋_GB2312"/>
                <w:color w:val="auto"/>
                <w:kern w:val="0"/>
                <w:sz w:val="20"/>
              </w:rPr>
              <w:t>20分</w:t>
            </w:r>
          </w:p>
        </w:tc>
        <w:tc>
          <w:tcPr>
            <w:tcW w:w="1145" w:type="pct"/>
            <w:vAlign w:val="center"/>
          </w:tcPr>
          <w:p>
            <w:pPr>
              <w:jc w:val="center"/>
              <w:rPr>
                <w:rFonts w:eastAsia="仿宋_GB2312"/>
                <w:color w:val="auto"/>
                <w:kern w:val="0"/>
                <w:sz w:val="20"/>
              </w:rPr>
            </w:pPr>
            <w:r>
              <w:rPr>
                <w:rFonts w:hint="eastAsia" w:eastAsia="仿宋_GB2312"/>
                <w:color w:val="auto"/>
                <w:kern w:val="0"/>
                <w:sz w:val="20"/>
              </w:rPr>
              <w:t>10分</w:t>
            </w:r>
          </w:p>
        </w:tc>
        <w:tc>
          <w:tcPr>
            <w:tcW w:w="980" w:type="pct"/>
            <w:vAlign w:val="center"/>
          </w:tcPr>
          <w:p>
            <w:pPr>
              <w:jc w:val="center"/>
              <w:rPr>
                <w:rFonts w:eastAsia="仿宋_GB2312"/>
                <w:color w:val="auto"/>
                <w:kern w:val="0"/>
                <w:sz w:val="20"/>
              </w:rPr>
            </w:pPr>
            <w:r>
              <w:rPr>
                <w:rFonts w:hint="eastAsia" w:eastAsia="仿宋_GB2312"/>
                <w:color w:val="auto"/>
                <w:kern w:val="0"/>
                <w:sz w:val="20"/>
              </w:rPr>
              <w:t>5分</w:t>
            </w:r>
          </w:p>
        </w:tc>
      </w:tr>
    </w:tbl>
    <w:p>
      <w:pPr>
        <w:spacing w:line="560" w:lineRule="exact"/>
        <w:ind w:firstLine="560" w:firstLineChars="20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注：a.学术论文等级以《西南财经大学学术期刊等级分类目录（</w:t>
      </w:r>
      <w:r>
        <w:rPr>
          <w:rFonts w:ascii="Times New Roman" w:hAnsi="Times New Roman" w:eastAsia="仿宋_GB2312"/>
          <w:color w:val="auto"/>
          <w:sz w:val="28"/>
          <w:szCs w:val="28"/>
        </w:rPr>
        <w:t>2018</w:t>
      </w:r>
      <w:r>
        <w:rPr>
          <w:rFonts w:hint="eastAsia" w:ascii="Times New Roman" w:hAnsi="Times New Roman" w:eastAsia="仿宋_GB2312"/>
          <w:color w:val="auto"/>
          <w:sz w:val="28"/>
          <w:szCs w:val="28"/>
        </w:rPr>
        <w:t>版）》为标准，其中属于CSSCI来源期刊（不含扩展版）但不在学校认定的各等级范围内的学术论文按C级学术论文认定。b.北大中文核心、CSSCI扩展版论文按发表时间的北大中文核心期刊目录或CSSCI扩展版期刊目录认定。c.申请加分的学术论文只加独立作者或第一作者，其余作者不加分。d.学生与直系亲属或学历、职称、职务明显高于本人者合作的学术论文不加分。e.学院工作小组对申请加分的论文进行学科专业审查，与公共管理专业不相关的学术论文不加分。f.学术论文成果截止日期为学院报名时间截止日，网络首发或有DOI号予以认定，用稿通知不予认定。</w:t>
      </w:r>
      <w:r>
        <w:rPr>
          <w:rFonts w:ascii="Times New Roman" w:hAnsi="Times New Roman" w:eastAsia="仿宋_GB2312"/>
          <w:color w:val="auto"/>
          <w:sz w:val="28"/>
          <w:szCs w:val="28"/>
        </w:rPr>
        <w:t xml:space="preserve"> </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（2）专利，每项计：</w:t>
      </w:r>
    </w:p>
    <w:tbl>
      <w:tblPr>
        <w:tblStyle w:val="13"/>
        <w:tblW w:w="42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22"/>
        <w:gridCol w:w="263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86" w:type="pct"/>
            <w:vAlign w:val="center"/>
          </w:tcPr>
          <w:p>
            <w:pPr>
              <w:jc w:val="center"/>
              <w:rPr>
                <w:rFonts w:eastAsia="仿宋_GB2312"/>
                <w:color w:val="auto"/>
                <w:kern w:val="0"/>
                <w:sz w:val="20"/>
              </w:rPr>
            </w:pPr>
            <w:r>
              <w:rPr>
                <w:rFonts w:hint="eastAsia" w:eastAsia="仿宋_GB2312"/>
                <w:color w:val="auto"/>
                <w:kern w:val="0"/>
                <w:sz w:val="20"/>
              </w:rPr>
              <w:t>发明专利</w:t>
            </w:r>
          </w:p>
        </w:tc>
        <w:tc>
          <w:tcPr>
            <w:tcW w:w="1856" w:type="pct"/>
            <w:vAlign w:val="center"/>
          </w:tcPr>
          <w:p>
            <w:pPr>
              <w:jc w:val="center"/>
              <w:rPr>
                <w:rFonts w:eastAsia="仿宋_GB2312"/>
                <w:color w:val="auto"/>
                <w:kern w:val="0"/>
                <w:sz w:val="20"/>
              </w:rPr>
            </w:pPr>
            <w:r>
              <w:rPr>
                <w:rFonts w:hint="eastAsia" w:eastAsia="仿宋_GB2312"/>
                <w:color w:val="auto"/>
                <w:kern w:val="0"/>
                <w:sz w:val="20"/>
              </w:rPr>
              <w:t>实用新型</w:t>
            </w:r>
          </w:p>
        </w:tc>
        <w:tc>
          <w:tcPr>
            <w:tcW w:w="1856" w:type="pct"/>
            <w:vAlign w:val="center"/>
          </w:tcPr>
          <w:p>
            <w:pPr>
              <w:jc w:val="center"/>
              <w:rPr>
                <w:rFonts w:eastAsia="仿宋_GB2312"/>
                <w:color w:val="auto"/>
                <w:kern w:val="0"/>
                <w:sz w:val="20"/>
              </w:rPr>
            </w:pPr>
            <w:r>
              <w:rPr>
                <w:rFonts w:hint="eastAsia" w:eastAsia="仿宋_GB2312"/>
                <w:color w:val="auto"/>
                <w:kern w:val="0"/>
                <w:sz w:val="20"/>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286" w:type="pct"/>
            <w:vAlign w:val="center"/>
          </w:tcPr>
          <w:p>
            <w:pPr>
              <w:jc w:val="center"/>
              <w:rPr>
                <w:rFonts w:eastAsia="仿宋_GB2312"/>
                <w:color w:val="auto"/>
                <w:kern w:val="0"/>
                <w:sz w:val="20"/>
              </w:rPr>
            </w:pPr>
            <w:r>
              <w:rPr>
                <w:rFonts w:hint="eastAsia" w:eastAsia="仿宋_GB2312"/>
                <w:color w:val="auto"/>
                <w:kern w:val="0"/>
                <w:sz w:val="20"/>
              </w:rPr>
              <w:t>10分</w:t>
            </w:r>
          </w:p>
        </w:tc>
        <w:tc>
          <w:tcPr>
            <w:tcW w:w="1856" w:type="pct"/>
            <w:vAlign w:val="center"/>
          </w:tcPr>
          <w:p>
            <w:pPr>
              <w:jc w:val="center"/>
              <w:rPr>
                <w:rFonts w:eastAsia="仿宋_GB2312"/>
                <w:color w:val="auto"/>
                <w:kern w:val="0"/>
                <w:sz w:val="20"/>
              </w:rPr>
            </w:pPr>
            <w:r>
              <w:rPr>
                <w:rFonts w:hint="eastAsia" w:eastAsia="仿宋_GB2312"/>
                <w:color w:val="auto"/>
                <w:kern w:val="0"/>
                <w:sz w:val="20"/>
              </w:rPr>
              <w:t>6分</w:t>
            </w:r>
          </w:p>
        </w:tc>
        <w:tc>
          <w:tcPr>
            <w:tcW w:w="1856" w:type="pct"/>
            <w:vAlign w:val="center"/>
          </w:tcPr>
          <w:p>
            <w:pPr>
              <w:jc w:val="center"/>
              <w:rPr>
                <w:rFonts w:eastAsia="仿宋_GB2312"/>
                <w:color w:val="auto"/>
                <w:kern w:val="0"/>
                <w:sz w:val="20"/>
              </w:rPr>
            </w:pPr>
            <w:r>
              <w:rPr>
                <w:rFonts w:hint="eastAsia" w:eastAsia="仿宋_GB2312"/>
                <w:color w:val="auto"/>
                <w:kern w:val="0"/>
                <w:sz w:val="20"/>
              </w:rPr>
              <w:t>3分</w:t>
            </w:r>
          </w:p>
        </w:tc>
      </w:tr>
    </w:tbl>
    <w:p>
      <w:pPr>
        <w:spacing w:line="560" w:lineRule="exact"/>
        <w:ind w:firstLine="560" w:firstLineChars="200"/>
        <w:rPr>
          <w:rFonts w:ascii="Times New Roman" w:hAnsi="Times New Roman" w:eastAsia="仿宋_GB2312"/>
          <w:bCs/>
          <w:color w:val="auto"/>
          <w:kern w:val="0"/>
          <w:sz w:val="28"/>
          <w:szCs w:val="28"/>
        </w:rPr>
      </w:pPr>
      <w:r>
        <w:rPr>
          <w:rFonts w:hint="eastAsia" w:ascii="Times New Roman" w:hAnsi="Times New Roman" w:eastAsia="仿宋_GB2312"/>
          <w:color w:val="auto"/>
          <w:sz w:val="28"/>
          <w:szCs w:val="28"/>
        </w:rPr>
        <w:t>（3）</w:t>
      </w:r>
      <w:bookmarkStart w:id="5" w:name="_Hlk91664670"/>
      <w:r>
        <w:rPr>
          <w:rFonts w:hint="eastAsia" w:ascii="Times New Roman" w:hAnsi="Times New Roman" w:eastAsia="仿宋_GB2312"/>
          <w:color w:val="auto"/>
          <w:sz w:val="28"/>
          <w:szCs w:val="28"/>
        </w:rPr>
        <w:t>大学生创新训练计划项目</w:t>
      </w:r>
      <w:bookmarkEnd w:id="5"/>
      <w:r>
        <w:rPr>
          <w:rFonts w:hint="eastAsia" w:ascii="Times New Roman" w:hAnsi="Times New Roman" w:eastAsia="仿宋_GB2312"/>
          <w:bCs/>
          <w:color w:val="auto"/>
          <w:kern w:val="0"/>
          <w:sz w:val="28"/>
          <w:szCs w:val="28"/>
        </w:rPr>
        <w:t>结项者，</w:t>
      </w:r>
      <w:r>
        <w:rPr>
          <w:rFonts w:ascii="Times New Roman" w:hAnsi="Times New Roman" w:eastAsia="仿宋_GB2312"/>
          <w:bCs/>
          <w:color w:val="auto"/>
          <w:kern w:val="0"/>
          <w:sz w:val="28"/>
          <w:szCs w:val="28"/>
        </w:rPr>
        <w:t>每项计：</w:t>
      </w:r>
    </w:p>
    <w:tbl>
      <w:tblPr>
        <w:tblStyle w:val="13"/>
        <w:tblW w:w="4164" w:type="pct"/>
        <w:jc w:val="center"/>
        <w:tblLayout w:type="fixed"/>
        <w:tblCellMar>
          <w:top w:w="15" w:type="dxa"/>
          <w:left w:w="15" w:type="dxa"/>
          <w:bottom w:w="15" w:type="dxa"/>
          <w:right w:w="15" w:type="dxa"/>
        </w:tblCellMar>
      </w:tblPr>
      <w:tblGrid>
        <w:gridCol w:w="3131"/>
        <w:gridCol w:w="3966"/>
      </w:tblGrid>
      <w:tr>
        <w:tblPrEx>
          <w:tblCellMar>
            <w:top w:w="15" w:type="dxa"/>
            <w:left w:w="15" w:type="dxa"/>
            <w:bottom w:w="15" w:type="dxa"/>
            <w:right w:w="15" w:type="dxa"/>
          </w:tblCellMar>
        </w:tblPrEx>
        <w:trPr>
          <w:trHeight w:val="20" w:hRule="atLeast"/>
          <w:jc w:val="center"/>
        </w:trPr>
        <w:tc>
          <w:tcPr>
            <w:tcW w:w="220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国家级</w:t>
            </w:r>
          </w:p>
        </w:tc>
        <w:tc>
          <w:tcPr>
            <w:tcW w:w="2793" w:type="pc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省级</w:t>
            </w:r>
          </w:p>
        </w:tc>
      </w:tr>
      <w:tr>
        <w:tblPrEx>
          <w:tblCellMar>
            <w:top w:w="15" w:type="dxa"/>
            <w:left w:w="15" w:type="dxa"/>
            <w:bottom w:w="15" w:type="dxa"/>
            <w:right w:w="15" w:type="dxa"/>
          </w:tblCellMar>
        </w:tblPrEx>
        <w:trPr>
          <w:trHeight w:val="20" w:hRule="atLeast"/>
          <w:jc w:val="center"/>
        </w:trPr>
        <w:tc>
          <w:tcPr>
            <w:tcW w:w="2206" w:type="pc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10分</w:t>
            </w:r>
          </w:p>
        </w:tc>
        <w:tc>
          <w:tcPr>
            <w:tcW w:w="2793"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5分</w:t>
            </w:r>
          </w:p>
        </w:tc>
      </w:tr>
    </w:tbl>
    <w:p>
      <w:pPr>
        <w:spacing w:line="560" w:lineRule="exact"/>
        <w:ind w:firstLine="560" w:firstLineChars="200"/>
        <w:jc w:val="left"/>
        <w:rPr>
          <w:rFonts w:ascii="Times New Roman" w:hAnsi="Times New Roman" w:eastAsia="仿宋_GB2312"/>
          <w:bCs/>
          <w:color w:val="auto"/>
          <w:kern w:val="0"/>
          <w:sz w:val="28"/>
          <w:szCs w:val="24"/>
        </w:rPr>
      </w:pPr>
      <w:r>
        <w:rPr>
          <w:rFonts w:hint="eastAsia" w:ascii="Times New Roman" w:hAnsi="Times New Roman" w:eastAsia="仿宋_GB2312"/>
          <w:bCs/>
          <w:color w:val="auto"/>
          <w:kern w:val="0"/>
          <w:sz w:val="28"/>
          <w:szCs w:val="24"/>
        </w:rPr>
        <w:t>科研成果类加分说明：</w:t>
      </w:r>
    </w:p>
    <w:p>
      <w:pPr>
        <w:autoSpaceDE w:val="0"/>
        <w:autoSpaceDN w:val="0"/>
        <w:adjustRightInd w:val="0"/>
        <w:ind w:firstLine="480" w:firstLineChars="200"/>
        <w:rPr>
          <w:rFonts w:ascii="Times New Roman" w:hAnsi="Times New Roman" w:eastAsia="仿宋_GB2312"/>
          <w:color w:val="auto"/>
          <w:sz w:val="24"/>
          <w:szCs w:val="22"/>
        </w:rPr>
      </w:pPr>
      <w:r>
        <w:rPr>
          <w:rFonts w:hint="eastAsia" w:ascii="Times New Roman" w:hAnsi="Times New Roman" w:eastAsia="仿宋_GB2312"/>
          <w:color w:val="auto"/>
          <w:sz w:val="24"/>
          <w:szCs w:val="22"/>
        </w:rPr>
        <w:t>①同一</w:t>
      </w:r>
      <w:r>
        <w:rPr>
          <w:rFonts w:hint="eastAsia" w:ascii="Times New Roman" w:hAnsi="Times New Roman" w:eastAsia="仿宋_GB2312"/>
          <w:color w:val="auto"/>
          <w:sz w:val="24"/>
          <w:szCs w:val="22"/>
          <w:lang w:val="en-US" w:eastAsia="zh-CN"/>
        </w:rPr>
        <w:t>成果</w:t>
      </w:r>
      <w:r>
        <w:rPr>
          <w:rFonts w:ascii="Times New Roman" w:hAnsi="Times New Roman" w:eastAsia="仿宋_GB2312"/>
          <w:color w:val="auto"/>
          <w:sz w:val="24"/>
          <w:szCs w:val="22"/>
        </w:rPr>
        <w:t>分</w:t>
      </w:r>
      <w:r>
        <w:rPr>
          <w:rFonts w:hint="eastAsia" w:ascii="Times New Roman" w:hAnsi="Times New Roman" w:eastAsia="仿宋_GB2312"/>
          <w:color w:val="auto"/>
          <w:sz w:val="24"/>
          <w:szCs w:val="22"/>
        </w:rPr>
        <w:t>别获得多个</w:t>
      </w:r>
      <w:r>
        <w:rPr>
          <w:rFonts w:ascii="Times New Roman" w:hAnsi="Times New Roman" w:eastAsia="仿宋_GB2312"/>
          <w:color w:val="auto"/>
          <w:sz w:val="24"/>
          <w:szCs w:val="22"/>
        </w:rPr>
        <w:t>奖励的，</w:t>
      </w:r>
      <w:r>
        <w:rPr>
          <w:rFonts w:hint="eastAsia" w:ascii="Times New Roman" w:hAnsi="Times New Roman" w:eastAsia="仿宋_GB2312"/>
          <w:color w:val="auto"/>
          <w:sz w:val="24"/>
          <w:szCs w:val="22"/>
        </w:rPr>
        <w:t>按照“就高不就低”的原则予以认定。</w:t>
      </w:r>
    </w:p>
    <w:p>
      <w:pPr>
        <w:autoSpaceDE w:val="0"/>
        <w:autoSpaceDN w:val="0"/>
        <w:adjustRightInd w:val="0"/>
        <w:ind w:firstLine="480" w:firstLineChars="200"/>
        <w:rPr>
          <w:rFonts w:ascii="Times New Roman" w:hAnsi="Times New Roman" w:eastAsia="仿宋_GB2312"/>
          <w:color w:val="auto"/>
          <w:sz w:val="24"/>
          <w:szCs w:val="22"/>
        </w:rPr>
      </w:pPr>
      <w:r>
        <w:rPr>
          <w:rFonts w:ascii="Times New Roman" w:hAnsi="Times New Roman" w:eastAsia="仿宋_GB2312"/>
          <w:color w:val="auto"/>
          <w:sz w:val="24"/>
          <w:szCs w:val="22"/>
        </w:rPr>
        <w:fldChar w:fldCharType="begin"/>
      </w:r>
      <w:r>
        <w:rPr>
          <w:rFonts w:ascii="Times New Roman" w:hAnsi="Times New Roman" w:eastAsia="仿宋_GB2312"/>
          <w:color w:val="auto"/>
          <w:sz w:val="24"/>
          <w:szCs w:val="22"/>
        </w:rPr>
        <w:instrText xml:space="preserve"> </w:instrText>
      </w:r>
      <w:r>
        <w:rPr>
          <w:rFonts w:hint="eastAsia" w:ascii="Times New Roman" w:hAnsi="Times New Roman" w:eastAsia="仿宋_GB2312"/>
          <w:color w:val="auto"/>
          <w:sz w:val="24"/>
          <w:szCs w:val="22"/>
        </w:rPr>
        <w:instrText xml:space="preserve">= 2 \* GB3</w:instrText>
      </w:r>
      <w:r>
        <w:rPr>
          <w:rFonts w:ascii="Times New Roman" w:hAnsi="Times New Roman" w:eastAsia="仿宋_GB2312"/>
          <w:color w:val="auto"/>
          <w:sz w:val="24"/>
          <w:szCs w:val="22"/>
        </w:rPr>
        <w:instrText xml:space="preserve"> </w:instrText>
      </w:r>
      <w:r>
        <w:rPr>
          <w:rFonts w:ascii="Times New Roman" w:hAnsi="Times New Roman" w:eastAsia="仿宋_GB2312"/>
          <w:color w:val="auto"/>
          <w:sz w:val="24"/>
          <w:szCs w:val="22"/>
        </w:rPr>
        <w:fldChar w:fldCharType="separate"/>
      </w:r>
      <w:r>
        <w:rPr>
          <w:rFonts w:hint="eastAsia" w:ascii="Times New Roman" w:hAnsi="Times New Roman" w:eastAsia="仿宋_GB2312"/>
          <w:color w:val="auto"/>
          <w:sz w:val="24"/>
          <w:szCs w:val="22"/>
        </w:rPr>
        <w:t>②</w:t>
      </w:r>
      <w:r>
        <w:rPr>
          <w:rFonts w:ascii="Times New Roman" w:hAnsi="Times New Roman" w:eastAsia="仿宋_GB2312"/>
          <w:color w:val="auto"/>
          <w:sz w:val="24"/>
          <w:szCs w:val="22"/>
        </w:rPr>
        <w:fldChar w:fldCharType="end"/>
      </w:r>
      <w:r>
        <w:rPr>
          <w:rFonts w:hint="eastAsia" w:ascii="Times New Roman" w:hAnsi="Times New Roman" w:eastAsia="仿宋_GB2312"/>
          <w:color w:val="auto"/>
          <w:sz w:val="24"/>
          <w:szCs w:val="22"/>
        </w:rPr>
        <w:t>合作者成果认定：主持人认定为</w:t>
      </w:r>
      <w:r>
        <w:rPr>
          <w:rFonts w:ascii="Times New Roman" w:hAnsi="Times New Roman" w:eastAsia="仿宋_GB2312"/>
          <w:color w:val="auto"/>
          <w:sz w:val="24"/>
          <w:szCs w:val="22"/>
        </w:rPr>
        <w:t>1</w:t>
      </w:r>
      <w:r>
        <w:rPr>
          <w:rFonts w:hint="eastAsia" w:ascii="Times New Roman" w:hAnsi="Times New Roman" w:eastAsia="仿宋_GB2312"/>
          <w:color w:val="auto"/>
          <w:sz w:val="24"/>
          <w:szCs w:val="22"/>
        </w:rPr>
        <w:t>项，第一主研认定为</w:t>
      </w:r>
      <w:r>
        <w:rPr>
          <w:rFonts w:ascii="Times New Roman" w:hAnsi="Times New Roman" w:eastAsia="仿宋_GB2312"/>
          <w:color w:val="auto"/>
          <w:sz w:val="24"/>
          <w:szCs w:val="22"/>
        </w:rPr>
        <w:t>0.5</w:t>
      </w:r>
      <w:r>
        <w:rPr>
          <w:rFonts w:hint="eastAsia" w:ascii="Times New Roman" w:hAnsi="Times New Roman" w:eastAsia="仿宋_GB2312"/>
          <w:color w:val="auto"/>
          <w:sz w:val="24"/>
          <w:szCs w:val="22"/>
        </w:rPr>
        <w:t>项，第二主研认定为</w:t>
      </w:r>
      <w:r>
        <w:rPr>
          <w:rFonts w:ascii="Times New Roman" w:hAnsi="Times New Roman" w:eastAsia="仿宋_GB2312"/>
          <w:color w:val="auto"/>
          <w:sz w:val="24"/>
          <w:szCs w:val="22"/>
        </w:rPr>
        <w:t>0.3</w:t>
      </w:r>
      <w:r>
        <w:rPr>
          <w:rFonts w:hint="eastAsia" w:ascii="Times New Roman" w:hAnsi="Times New Roman" w:eastAsia="仿宋_GB2312"/>
          <w:color w:val="auto"/>
          <w:sz w:val="24"/>
          <w:szCs w:val="22"/>
        </w:rPr>
        <w:t>项，第三主研认定为</w:t>
      </w:r>
      <w:r>
        <w:rPr>
          <w:rFonts w:ascii="Times New Roman" w:hAnsi="Times New Roman" w:eastAsia="仿宋_GB2312"/>
          <w:color w:val="auto"/>
          <w:sz w:val="24"/>
          <w:szCs w:val="22"/>
        </w:rPr>
        <w:t>0.2</w:t>
      </w:r>
      <w:r>
        <w:rPr>
          <w:rFonts w:hint="eastAsia" w:ascii="Times New Roman" w:hAnsi="Times New Roman" w:eastAsia="仿宋_GB2312"/>
          <w:color w:val="auto"/>
          <w:sz w:val="24"/>
          <w:szCs w:val="22"/>
        </w:rPr>
        <w:t>项，第四及以后者认定为</w:t>
      </w:r>
      <w:r>
        <w:rPr>
          <w:rFonts w:ascii="Times New Roman" w:hAnsi="Times New Roman" w:eastAsia="仿宋_GB2312"/>
          <w:color w:val="auto"/>
          <w:sz w:val="24"/>
          <w:szCs w:val="22"/>
        </w:rPr>
        <w:t>0.1</w:t>
      </w:r>
      <w:r>
        <w:rPr>
          <w:rFonts w:hint="eastAsia" w:ascii="Times New Roman" w:hAnsi="Times New Roman" w:eastAsia="仿宋_GB2312"/>
          <w:color w:val="auto"/>
          <w:sz w:val="24"/>
          <w:szCs w:val="22"/>
        </w:rPr>
        <w:t>项。</w:t>
      </w:r>
    </w:p>
    <w:p>
      <w:pPr>
        <w:autoSpaceDE w:val="0"/>
        <w:autoSpaceDN w:val="0"/>
        <w:adjustRightInd w:val="0"/>
        <w:ind w:firstLine="480" w:firstLineChars="200"/>
        <w:rPr>
          <w:rFonts w:ascii="Times New Roman" w:hAnsi="Times New Roman" w:eastAsia="仿宋_GB2312"/>
          <w:color w:val="auto"/>
          <w:sz w:val="24"/>
          <w:szCs w:val="22"/>
        </w:rPr>
      </w:pPr>
      <w:r>
        <w:rPr>
          <w:rFonts w:ascii="Times New Roman" w:hAnsi="Times New Roman" w:eastAsia="仿宋_GB2312"/>
          <w:color w:val="auto"/>
          <w:sz w:val="24"/>
          <w:szCs w:val="22"/>
        </w:rPr>
        <w:fldChar w:fldCharType="begin"/>
      </w:r>
      <w:r>
        <w:rPr>
          <w:rFonts w:ascii="Times New Roman" w:hAnsi="Times New Roman" w:eastAsia="仿宋_GB2312"/>
          <w:color w:val="auto"/>
          <w:sz w:val="24"/>
          <w:szCs w:val="22"/>
        </w:rPr>
        <w:instrText xml:space="preserve"> </w:instrText>
      </w:r>
      <w:r>
        <w:rPr>
          <w:rFonts w:hint="eastAsia" w:ascii="Times New Roman" w:hAnsi="Times New Roman" w:eastAsia="仿宋_GB2312"/>
          <w:color w:val="auto"/>
          <w:sz w:val="24"/>
          <w:szCs w:val="22"/>
        </w:rPr>
        <w:instrText xml:space="preserve">= 3 \* GB3</w:instrText>
      </w:r>
      <w:r>
        <w:rPr>
          <w:rFonts w:ascii="Times New Roman" w:hAnsi="Times New Roman" w:eastAsia="仿宋_GB2312"/>
          <w:color w:val="auto"/>
          <w:sz w:val="24"/>
          <w:szCs w:val="22"/>
        </w:rPr>
        <w:instrText xml:space="preserve"> </w:instrText>
      </w:r>
      <w:r>
        <w:rPr>
          <w:rFonts w:ascii="Times New Roman" w:hAnsi="Times New Roman" w:eastAsia="仿宋_GB2312"/>
          <w:color w:val="auto"/>
          <w:sz w:val="24"/>
          <w:szCs w:val="22"/>
        </w:rPr>
        <w:fldChar w:fldCharType="separate"/>
      </w:r>
      <w:r>
        <w:rPr>
          <w:rFonts w:hint="eastAsia" w:ascii="Times New Roman" w:hAnsi="Times New Roman" w:eastAsia="仿宋_GB2312"/>
          <w:color w:val="auto"/>
          <w:sz w:val="24"/>
          <w:szCs w:val="22"/>
        </w:rPr>
        <w:t>③</w:t>
      </w:r>
      <w:r>
        <w:rPr>
          <w:rFonts w:ascii="Times New Roman" w:hAnsi="Times New Roman" w:eastAsia="仿宋_GB2312"/>
          <w:color w:val="auto"/>
          <w:sz w:val="24"/>
          <w:szCs w:val="22"/>
        </w:rPr>
        <w:fldChar w:fldCharType="end"/>
      </w:r>
      <w:r>
        <w:rPr>
          <w:rFonts w:hint="eastAsia" w:ascii="Times New Roman" w:hAnsi="Times New Roman" w:eastAsia="仿宋_GB2312"/>
          <w:color w:val="auto"/>
          <w:sz w:val="24"/>
          <w:szCs w:val="22"/>
          <w:lang w:val="en-US" w:eastAsia="zh-CN"/>
        </w:rPr>
        <w:t>成果</w:t>
      </w:r>
      <w:r>
        <w:rPr>
          <w:rFonts w:hint="eastAsia" w:ascii="Times New Roman" w:hAnsi="Times New Roman" w:eastAsia="仿宋_GB2312"/>
          <w:color w:val="auto"/>
          <w:sz w:val="24"/>
          <w:szCs w:val="22"/>
        </w:rPr>
        <w:t>第一署名单位须为“西南财经大学”或“西南财经大学公共管理学院”。</w:t>
      </w:r>
    </w:p>
    <w:p>
      <w:pPr>
        <w:autoSpaceDE w:val="0"/>
        <w:autoSpaceDN w:val="0"/>
        <w:adjustRightInd w:val="0"/>
        <w:ind w:firstLine="480" w:firstLineChars="200"/>
        <w:rPr>
          <w:rFonts w:ascii="Times New Roman" w:hAnsi="Times New Roman" w:eastAsia="仿宋_GB2312"/>
          <w:color w:val="auto"/>
          <w:sz w:val="24"/>
          <w:szCs w:val="22"/>
        </w:rPr>
      </w:pPr>
      <w:r>
        <w:rPr>
          <w:rFonts w:ascii="Times New Roman" w:hAnsi="Times New Roman" w:eastAsia="仿宋_GB2312"/>
          <w:color w:val="auto"/>
          <w:sz w:val="24"/>
          <w:szCs w:val="22"/>
        </w:rPr>
        <w:fldChar w:fldCharType="begin"/>
      </w:r>
      <w:r>
        <w:rPr>
          <w:rFonts w:ascii="Times New Roman" w:hAnsi="Times New Roman" w:eastAsia="仿宋_GB2312"/>
          <w:color w:val="auto"/>
          <w:sz w:val="24"/>
          <w:szCs w:val="22"/>
        </w:rPr>
        <w:instrText xml:space="preserve"> </w:instrText>
      </w:r>
      <w:r>
        <w:rPr>
          <w:rFonts w:hint="eastAsia" w:ascii="Times New Roman" w:hAnsi="Times New Roman" w:eastAsia="仿宋_GB2312"/>
          <w:color w:val="auto"/>
          <w:sz w:val="24"/>
          <w:szCs w:val="22"/>
        </w:rPr>
        <w:instrText xml:space="preserve">= 4 \* GB3</w:instrText>
      </w:r>
      <w:r>
        <w:rPr>
          <w:rFonts w:ascii="Times New Roman" w:hAnsi="Times New Roman" w:eastAsia="仿宋_GB2312"/>
          <w:color w:val="auto"/>
          <w:sz w:val="24"/>
          <w:szCs w:val="22"/>
        </w:rPr>
        <w:instrText xml:space="preserve"> </w:instrText>
      </w:r>
      <w:r>
        <w:rPr>
          <w:rFonts w:ascii="Times New Roman" w:hAnsi="Times New Roman" w:eastAsia="仿宋_GB2312"/>
          <w:color w:val="auto"/>
          <w:sz w:val="24"/>
          <w:szCs w:val="22"/>
        </w:rPr>
        <w:fldChar w:fldCharType="separate"/>
      </w:r>
      <w:r>
        <w:rPr>
          <w:rFonts w:hint="eastAsia" w:ascii="Times New Roman" w:hAnsi="Times New Roman" w:eastAsia="仿宋_GB2312"/>
          <w:color w:val="auto"/>
          <w:sz w:val="24"/>
          <w:szCs w:val="22"/>
        </w:rPr>
        <w:t>④</w:t>
      </w:r>
      <w:r>
        <w:rPr>
          <w:rFonts w:ascii="Times New Roman" w:hAnsi="Times New Roman" w:eastAsia="仿宋_GB2312"/>
          <w:color w:val="auto"/>
          <w:sz w:val="24"/>
          <w:szCs w:val="22"/>
        </w:rPr>
        <w:fldChar w:fldCharType="end"/>
      </w:r>
      <w:r>
        <w:rPr>
          <w:rFonts w:hint="eastAsia" w:ascii="Times New Roman" w:hAnsi="Times New Roman" w:eastAsia="仿宋_GB2312"/>
          <w:color w:val="auto"/>
          <w:sz w:val="24"/>
          <w:szCs w:val="22"/>
          <w:lang w:val="en-US" w:eastAsia="zh-CN"/>
        </w:rPr>
        <w:t>项目</w:t>
      </w:r>
      <w:r>
        <w:rPr>
          <w:rFonts w:hint="eastAsia" w:ascii="Times New Roman" w:hAnsi="Times New Roman" w:eastAsia="仿宋_GB2312"/>
          <w:color w:val="auto"/>
          <w:sz w:val="24"/>
          <w:szCs w:val="22"/>
        </w:rPr>
        <w:t>立项不予加分；项目结项按等级认定，其中优秀认定为</w:t>
      </w:r>
      <w:r>
        <w:rPr>
          <w:rFonts w:ascii="Times New Roman" w:hAnsi="Times New Roman" w:eastAsia="仿宋_GB2312"/>
          <w:color w:val="auto"/>
          <w:sz w:val="24"/>
          <w:szCs w:val="22"/>
        </w:rPr>
        <w:t>1.5</w:t>
      </w:r>
      <w:r>
        <w:rPr>
          <w:rFonts w:hint="eastAsia" w:ascii="Times New Roman" w:hAnsi="Times New Roman" w:eastAsia="仿宋_GB2312"/>
          <w:color w:val="auto"/>
          <w:sz w:val="24"/>
          <w:szCs w:val="22"/>
        </w:rPr>
        <w:t>项、良好</w:t>
      </w:r>
      <w:r>
        <w:rPr>
          <w:rFonts w:ascii="Times New Roman" w:hAnsi="Times New Roman" w:eastAsia="仿宋_GB2312"/>
          <w:color w:val="auto"/>
          <w:sz w:val="24"/>
          <w:szCs w:val="22"/>
        </w:rPr>
        <w:t>1.2</w:t>
      </w:r>
      <w:r>
        <w:rPr>
          <w:rFonts w:hint="eastAsia" w:ascii="Times New Roman" w:hAnsi="Times New Roman" w:eastAsia="仿宋_GB2312"/>
          <w:color w:val="auto"/>
          <w:sz w:val="24"/>
          <w:szCs w:val="22"/>
        </w:rPr>
        <w:t>项、合格</w:t>
      </w:r>
      <w:r>
        <w:rPr>
          <w:rFonts w:ascii="Times New Roman" w:hAnsi="Times New Roman" w:eastAsia="仿宋_GB2312"/>
          <w:color w:val="auto"/>
          <w:sz w:val="24"/>
          <w:szCs w:val="22"/>
        </w:rPr>
        <w:t>1</w:t>
      </w:r>
      <w:r>
        <w:rPr>
          <w:rFonts w:hint="eastAsia" w:ascii="Times New Roman" w:hAnsi="Times New Roman" w:eastAsia="仿宋_GB2312"/>
          <w:color w:val="auto"/>
          <w:sz w:val="24"/>
          <w:szCs w:val="22"/>
        </w:rPr>
        <w:t>项。</w:t>
      </w:r>
    </w:p>
    <w:p>
      <w:pPr>
        <w:autoSpaceDE w:val="0"/>
        <w:autoSpaceDN w:val="0"/>
        <w:adjustRightInd w:val="0"/>
        <w:ind w:firstLine="480" w:firstLineChars="200"/>
        <w:rPr>
          <w:rFonts w:ascii="Times New Roman" w:hAnsi="Times New Roman" w:eastAsia="仿宋_GB2312"/>
          <w:color w:val="auto"/>
          <w:sz w:val="24"/>
          <w:szCs w:val="22"/>
        </w:rPr>
      </w:pPr>
      <w:r>
        <w:rPr>
          <w:rFonts w:ascii="Times New Roman" w:hAnsi="Times New Roman" w:eastAsia="仿宋_GB2312"/>
          <w:color w:val="auto"/>
          <w:sz w:val="24"/>
          <w:szCs w:val="22"/>
        </w:rPr>
        <w:fldChar w:fldCharType="begin"/>
      </w:r>
      <w:r>
        <w:rPr>
          <w:rFonts w:ascii="Times New Roman" w:hAnsi="Times New Roman" w:eastAsia="仿宋_GB2312"/>
          <w:color w:val="auto"/>
          <w:sz w:val="24"/>
          <w:szCs w:val="22"/>
        </w:rPr>
        <w:instrText xml:space="preserve"> </w:instrText>
      </w:r>
      <w:r>
        <w:rPr>
          <w:rFonts w:hint="eastAsia" w:ascii="Times New Roman" w:hAnsi="Times New Roman" w:eastAsia="仿宋_GB2312"/>
          <w:color w:val="auto"/>
          <w:sz w:val="24"/>
          <w:szCs w:val="22"/>
        </w:rPr>
        <w:instrText xml:space="preserve">= 5 \* GB3</w:instrText>
      </w:r>
      <w:r>
        <w:rPr>
          <w:rFonts w:ascii="Times New Roman" w:hAnsi="Times New Roman" w:eastAsia="仿宋_GB2312"/>
          <w:color w:val="auto"/>
          <w:sz w:val="24"/>
          <w:szCs w:val="22"/>
        </w:rPr>
        <w:instrText xml:space="preserve"> </w:instrText>
      </w:r>
      <w:r>
        <w:rPr>
          <w:rFonts w:ascii="Times New Roman" w:hAnsi="Times New Roman" w:eastAsia="仿宋_GB2312"/>
          <w:color w:val="auto"/>
          <w:sz w:val="24"/>
          <w:szCs w:val="22"/>
        </w:rPr>
        <w:fldChar w:fldCharType="separate"/>
      </w:r>
      <w:r>
        <w:rPr>
          <w:rFonts w:hint="eastAsia" w:ascii="Times New Roman" w:hAnsi="Times New Roman" w:eastAsia="仿宋_GB2312"/>
          <w:color w:val="auto"/>
          <w:sz w:val="24"/>
          <w:szCs w:val="22"/>
        </w:rPr>
        <w:t>⑤</w:t>
      </w:r>
      <w:r>
        <w:rPr>
          <w:rFonts w:ascii="Times New Roman" w:hAnsi="Times New Roman" w:eastAsia="仿宋_GB2312"/>
          <w:color w:val="auto"/>
          <w:sz w:val="24"/>
          <w:szCs w:val="22"/>
        </w:rPr>
        <w:fldChar w:fldCharType="end"/>
      </w:r>
      <w:r>
        <w:rPr>
          <w:rFonts w:hint="eastAsia" w:ascii="Times New Roman" w:hAnsi="Times New Roman" w:eastAsia="仿宋_GB2312"/>
          <w:color w:val="auto"/>
          <w:sz w:val="24"/>
          <w:szCs w:val="22"/>
        </w:rPr>
        <w:t>项目成果截止日期为学院报名时间截止日。</w:t>
      </w:r>
    </w:p>
    <w:p>
      <w:pPr>
        <w:autoSpaceDE w:val="0"/>
        <w:autoSpaceDN w:val="0"/>
        <w:adjustRightInd w:val="0"/>
        <w:ind w:firstLine="480" w:firstLineChars="200"/>
        <w:rPr>
          <w:rFonts w:ascii="Times New Roman" w:hAnsi="Times New Roman" w:eastAsia="仿宋_GB2312"/>
          <w:color w:val="auto"/>
          <w:sz w:val="24"/>
          <w:szCs w:val="22"/>
        </w:rPr>
      </w:pPr>
      <w:r>
        <w:rPr>
          <w:rFonts w:hint="eastAsia" w:ascii="Times New Roman" w:hAnsi="Times New Roman" w:eastAsia="仿宋_GB2312"/>
          <w:color w:val="auto"/>
          <w:sz w:val="24"/>
          <w:szCs w:val="22"/>
        </w:rPr>
        <w:t>⑥科研成果类设置学术论文、专利、大学生创新训练计划项目方面，学生在不同方面获得奖项可以累积加分，在同一方面中有多项加分情况时，只取最高一项。</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3</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创新创业类</w:t>
      </w:r>
    </w:p>
    <w:p>
      <w:pPr>
        <w:spacing w:line="560" w:lineRule="exact"/>
        <w:ind w:firstLine="544" w:firstLineChars="200"/>
        <w:rPr>
          <w:rFonts w:ascii="Times New Roman" w:hAnsi="Times New Roman" w:eastAsia="仿宋_GB2312"/>
          <w:color w:val="auto"/>
          <w:spacing w:val="-4"/>
          <w:sz w:val="28"/>
          <w:szCs w:val="28"/>
        </w:rPr>
      </w:pPr>
      <w:r>
        <w:rPr>
          <w:rFonts w:hint="eastAsia" w:ascii="Times New Roman" w:hAnsi="Times New Roman" w:eastAsia="仿宋_GB2312"/>
          <w:color w:val="auto"/>
          <w:spacing w:val="-4"/>
          <w:sz w:val="28"/>
          <w:szCs w:val="28"/>
        </w:rPr>
        <w:t>创新创业类包含“挑战杯”全国大学生课外学术科技作品竞赛（不含专项赛）、“挑战杯”中国大学生创业计划竞赛（不含专项赛）、中国“互联网</w:t>
      </w:r>
      <w:r>
        <w:rPr>
          <w:rFonts w:ascii="Times New Roman" w:hAnsi="Times New Roman" w:eastAsia="仿宋_GB2312"/>
          <w:color w:val="auto"/>
          <w:spacing w:val="-4"/>
          <w:sz w:val="28"/>
          <w:szCs w:val="28"/>
        </w:rPr>
        <w:t>+</w:t>
      </w:r>
      <w:r>
        <w:rPr>
          <w:rFonts w:hint="eastAsia" w:ascii="Times New Roman" w:hAnsi="Times New Roman" w:eastAsia="仿宋_GB2312"/>
          <w:color w:val="auto"/>
          <w:spacing w:val="-4"/>
          <w:sz w:val="28"/>
          <w:szCs w:val="28"/>
        </w:rPr>
        <w:t>”大学生创新创业大赛</w:t>
      </w:r>
      <w:r>
        <w:rPr>
          <w:rFonts w:hint="eastAsia" w:ascii="Times New Roman" w:hAnsi="Times New Roman" w:eastAsia="仿宋_GB2312"/>
          <w:color w:val="auto"/>
          <w:sz w:val="28"/>
          <w:szCs w:val="28"/>
        </w:rPr>
        <w:t>方面</w:t>
      </w:r>
      <w:r>
        <w:rPr>
          <w:rFonts w:hint="eastAsia" w:ascii="Times New Roman" w:hAnsi="Times New Roman" w:eastAsia="仿宋_GB2312"/>
          <w:color w:val="auto"/>
          <w:spacing w:val="-4"/>
          <w:sz w:val="28"/>
          <w:szCs w:val="28"/>
        </w:rPr>
        <w:t>。其他省级及以上</w:t>
      </w:r>
      <w:r>
        <w:rPr>
          <w:rFonts w:hint="eastAsia" w:ascii="Times New Roman" w:hAnsi="Times New Roman" w:eastAsia="仿宋_GB2312"/>
          <w:color w:val="auto"/>
          <w:spacing w:val="-4"/>
          <w:sz w:val="28"/>
          <w:szCs w:val="28"/>
          <w:lang w:val="en-US" w:eastAsia="zh-CN"/>
        </w:rPr>
        <w:t>竞赛</w:t>
      </w:r>
      <w:r>
        <w:rPr>
          <w:rFonts w:hint="eastAsia" w:ascii="Times New Roman" w:hAnsi="Times New Roman" w:eastAsia="仿宋_GB2312"/>
          <w:color w:val="auto"/>
          <w:spacing w:val="-4"/>
          <w:sz w:val="28"/>
          <w:szCs w:val="28"/>
        </w:rPr>
        <w:t>，其适用性须经</w:t>
      </w:r>
      <w:r>
        <w:rPr>
          <w:rFonts w:hint="eastAsia" w:ascii="Times New Roman" w:hAnsi="Times New Roman" w:eastAsia="仿宋_GB2312"/>
          <w:color w:val="auto"/>
          <w:kern w:val="0"/>
          <w:sz w:val="28"/>
          <w:szCs w:val="28"/>
        </w:rPr>
        <w:t>学院工作小组</w:t>
      </w:r>
      <w:r>
        <w:rPr>
          <w:rFonts w:hint="eastAsia" w:ascii="Times New Roman" w:hAnsi="Times New Roman" w:eastAsia="仿宋_GB2312"/>
          <w:color w:val="auto"/>
          <w:spacing w:val="-4"/>
          <w:sz w:val="28"/>
          <w:szCs w:val="28"/>
        </w:rPr>
        <w:t>认定方能计分。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创新创业类竞赛加分规则如下</w:t>
      </w:r>
      <w:r>
        <w:rPr>
          <w:rFonts w:ascii="Times New Roman" w:hAnsi="Times New Roman" w:eastAsia="仿宋_GB2312"/>
          <w:color w:val="auto"/>
          <w:sz w:val="28"/>
          <w:szCs w:val="28"/>
        </w:rPr>
        <w:t>：</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r>
        <w:rPr>
          <w:rFonts w:ascii="Times New Roman" w:hAnsi="Times New Roman" w:eastAsia="仿宋_GB2312"/>
          <w:color w:val="auto"/>
          <w:sz w:val="28"/>
          <w:szCs w:val="28"/>
        </w:rPr>
        <w:t>1</w:t>
      </w:r>
      <w:r>
        <w:rPr>
          <w:rFonts w:hint="eastAsia" w:ascii="Times New Roman" w:hAnsi="Times New Roman" w:eastAsia="仿宋_GB2312"/>
          <w:color w:val="auto"/>
          <w:sz w:val="28"/>
          <w:szCs w:val="28"/>
        </w:rPr>
        <w:t>）</w:t>
      </w:r>
      <w:r>
        <w:rPr>
          <w:rFonts w:hint="cs" w:ascii="Times New Roman" w:hAnsi="Times New Roman" w:eastAsia="仿宋_GB2312"/>
          <w:color w:val="auto"/>
          <w:sz w:val="28"/>
          <w:szCs w:val="28"/>
        </w:rPr>
        <w:t>“</w:t>
      </w:r>
      <w:r>
        <w:rPr>
          <w:rFonts w:hint="eastAsia" w:ascii="Times New Roman" w:hAnsi="Times New Roman" w:eastAsia="仿宋_GB2312"/>
          <w:color w:val="auto"/>
          <w:sz w:val="28"/>
          <w:szCs w:val="28"/>
        </w:rPr>
        <w:t>挑战杯”全国大学生课外学术科技作品竞赛</w:t>
      </w:r>
      <w:r>
        <w:rPr>
          <w:rFonts w:hint="eastAsia" w:ascii="Times New Roman" w:hAnsi="Times New Roman" w:eastAsia="仿宋_GB2312"/>
          <w:color w:val="auto"/>
          <w:sz w:val="28"/>
          <w:szCs w:val="28"/>
        </w:rPr>
        <w:t>（不含专项赛）、</w:t>
      </w:r>
      <w:r>
        <w:rPr>
          <w:rFonts w:hint="eastAsia" w:ascii="Times New Roman" w:hAnsi="Times New Roman" w:eastAsia="仿宋_GB2312"/>
          <w:color w:val="auto"/>
          <w:sz w:val="28"/>
          <w:szCs w:val="28"/>
        </w:rPr>
        <w:t>“挑战杯”中国大学生创业计划竞赛（不含专项赛）获得者，计：</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19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770" w:type="dxa"/>
            <w:vAlign w:val="center"/>
          </w:tcPr>
          <w:p>
            <w:pPr>
              <w:jc w:val="center"/>
              <w:rPr>
                <w:rFonts w:eastAsia="仿宋_GB2312"/>
                <w:color w:val="auto"/>
                <w:kern w:val="0"/>
                <w:sz w:val="20"/>
              </w:rPr>
            </w:pPr>
          </w:p>
        </w:tc>
        <w:tc>
          <w:tcPr>
            <w:tcW w:w="1903" w:type="dxa"/>
            <w:vAlign w:val="center"/>
          </w:tcPr>
          <w:p>
            <w:pPr>
              <w:jc w:val="center"/>
              <w:rPr>
                <w:rFonts w:eastAsia="仿宋_GB2312"/>
                <w:color w:val="auto"/>
                <w:kern w:val="0"/>
                <w:sz w:val="20"/>
              </w:rPr>
            </w:pPr>
            <w:r>
              <w:rPr>
                <w:rFonts w:hint="eastAsia" w:eastAsia="仿宋_GB2312"/>
                <w:color w:val="auto"/>
                <w:kern w:val="0"/>
                <w:sz w:val="20"/>
              </w:rPr>
              <w:t>国家级</w:t>
            </w:r>
          </w:p>
        </w:tc>
        <w:tc>
          <w:tcPr>
            <w:tcW w:w="2410" w:type="dxa"/>
            <w:vAlign w:val="center"/>
          </w:tcPr>
          <w:p>
            <w:pPr>
              <w:jc w:val="center"/>
              <w:rPr>
                <w:rFonts w:eastAsia="仿宋_GB2312"/>
                <w:color w:val="auto"/>
                <w:kern w:val="0"/>
                <w:sz w:val="20"/>
              </w:rPr>
            </w:pPr>
            <w:r>
              <w:rPr>
                <w:rFonts w:hint="eastAsia" w:eastAsia="仿宋_GB2312"/>
                <w:color w:val="auto"/>
                <w:kern w:val="0"/>
                <w:sz w:val="20"/>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0" w:type="dxa"/>
            <w:vAlign w:val="center"/>
          </w:tcPr>
          <w:p>
            <w:pPr>
              <w:jc w:val="center"/>
              <w:rPr>
                <w:rFonts w:eastAsia="仿宋_GB2312"/>
                <w:color w:val="auto"/>
                <w:kern w:val="0"/>
                <w:sz w:val="20"/>
              </w:rPr>
            </w:pPr>
            <w:r>
              <w:rPr>
                <w:rFonts w:hint="eastAsia" w:eastAsia="仿宋_GB2312"/>
                <w:color w:val="auto"/>
                <w:kern w:val="0"/>
                <w:sz w:val="20"/>
              </w:rPr>
              <w:t>金奖团队前3名</w:t>
            </w:r>
            <w:r>
              <w:rPr>
                <w:rFonts w:hint="eastAsia" w:eastAsia="仿宋_GB2312"/>
                <w:color w:val="auto"/>
                <w:kern w:val="0"/>
                <w:sz w:val="20"/>
              </w:rPr>
              <w:t>负责人</w:t>
            </w:r>
          </w:p>
          <w:p>
            <w:pPr>
              <w:jc w:val="center"/>
              <w:rPr>
                <w:rFonts w:eastAsia="仿宋_GB2312"/>
                <w:color w:val="auto"/>
                <w:kern w:val="0"/>
                <w:sz w:val="20"/>
              </w:rPr>
            </w:pPr>
            <w:r>
              <w:rPr>
                <w:rFonts w:hint="eastAsia" w:eastAsia="仿宋_GB2312"/>
                <w:color w:val="auto"/>
                <w:kern w:val="0"/>
                <w:sz w:val="20"/>
              </w:rPr>
              <w:t>银奖团队前2名</w:t>
            </w:r>
            <w:r>
              <w:rPr>
                <w:rFonts w:hint="eastAsia" w:eastAsia="仿宋_GB2312"/>
                <w:color w:val="auto"/>
                <w:kern w:val="0"/>
                <w:sz w:val="20"/>
              </w:rPr>
              <w:t>负责人</w:t>
            </w:r>
          </w:p>
        </w:tc>
        <w:tc>
          <w:tcPr>
            <w:tcW w:w="1903" w:type="dxa"/>
            <w:vAlign w:val="center"/>
          </w:tcPr>
          <w:p>
            <w:pPr>
              <w:jc w:val="center"/>
              <w:rPr>
                <w:rFonts w:eastAsia="仿宋_GB2312"/>
                <w:color w:val="auto"/>
                <w:kern w:val="0"/>
                <w:sz w:val="20"/>
              </w:rPr>
            </w:pPr>
            <w:r>
              <w:rPr>
                <w:rFonts w:hint="eastAsia" w:eastAsia="仿宋_GB2312"/>
                <w:color w:val="auto"/>
                <w:kern w:val="0"/>
                <w:sz w:val="20"/>
              </w:rPr>
              <w:t>50</w:t>
            </w:r>
          </w:p>
        </w:tc>
        <w:tc>
          <w:tcPr>
            <w:tcW w:w="2410" w:type="dxa"/>
            <w:vAlign w:val="center"/>
          </w:tcPr>
          <w:p>
            <w:pPr>
              <w:jc w:val="center"/>
              <w:rPr>
                <w:rFonts w:eastAsia="仿宋_GB2312"/>
                <w:color w:val="auto"/>
                <w:kern w:val="0"/>
                <w:sz w:val="20"/>
              </w:rPr>
            </w:pPr>
            <w:r>
              <w:rPr>
                <w:rFonts w:hint="eastAsia" w:eastAsia="仿宋_GB2312"/>
                <w:color w:val="auto"/>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70" w:type="dxa"/>
            <w:vAlign w:val="center"/>
          </w:tcPr>
          <w:p>
            <w:pPr>
              <w:jc w:val="center"/>
              <w:rPr>
                <w:rFonts w:eastAsia="仿宋_GB2312"/>
                <w:color w:val="auto"/>
                <w:kern w:val="0"/>
                <w:sz w:val="20"/>
              </w:rPr>
            </w:pPr>
            <w:r>
              <w:rPr>
                <w:rFonts w:hint="eastAsia" w:eastAsia="仿宋_GB2312"/>
                <w:color w:val="auto"/>
                <w:kern w:val="0"/>
                <w:sz w:val="20"/>
              </w:rPr>
              <w:t>金奖、银奖其他团队</w:t>
            </w:r>
          </w:p>
        </w:tc>
        <w:tc>
          <w:tcPr>
            <w:tcW w:w="1903" w:type="dxa"/>
            <w:vAlign w:val="center"/>
          </w:tcPr>
          <w:p>
            <w:pPr>
              <w:jc w:val="center"/>
              <w:rPr>
                <w:rFonts w:eastAsia="仿宋_GB2312"/>
                <w:color w:val="auto"/>
                <w:kern w:val="0"/>
                <w:sz w:val="20"/>
              </w:rPr>
            </w:pPr>
            <w:r>
              <w:rPr>
                <w:rFonts w:hint="eastAsia" w:eastAsia="仿宋_GB2312"/>
                <w:color w:val="auto"/>
                <w:kern w:val="0"/>
                <w:sz w:val="20"/>
              </w:rPr>
              <w:t>30</w:t>
            </w:r>
          </w:p>
        </w:tc>
        <w:tc>
          <w:tcPr>
            <w:tcW w:w="2410" w:type="dxa"/>
            <w:vAlign w:val="center"/>
          </w:tcPr>
          <w:p>
            <w:pPr>
              <w:jc w:val="center"/>
              <w:rPr>
                <w:rFonts w:eastAsia="仿宋_GB2312"/>
                <w:color w:val="auto"/>
                <w:kern w:val="0"/>
                <w:sz w:val="20"/>
              </w:rPr>
            </w:pPr>
            <w:r>
              <w:rPr>
                <w:rFonts w:hint="eastAsia" w:eastAsia="仿宋_GB2312"/>
                <w:color w:val="auto"/>
                <w:kern w:val="0"/>
                <w:sz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2770" w:type="dxa"/>
            <w:vAlign w:val="center"/>
          </w:tcPr>
          <w:p>
            <w:pPr>
              <w:jc w:val="center"/>
              <w:rPr>
                <w:rFonts w:eastAsia="仿宋_GB2312"/>
                <w:color w:val="auto"/>
                <w:kern w:val="0"/>
                <w:sz w:val="20"/>
              </w:rPr>
            </w:pPr>
            <w:r>
              <w:rPr>
                <w:rFonts w:hint="eastAsia" w:eastAsia="仿宋_GB2312"/>
                <w:color w:val="auto"/>
                <w:kern w:val="0"/>
                <w:sz w:val="20"/>
              </w:rPr>
              <w:t>铜奖团队</w:t>
            </w:r>
          </w:p>
        </w:tc>
        <w:tc>
          <w:tcPr>
            <w:tcW w:w="1903" w:type="dxa"/>
            <w:vAlign w:val="center"/>
          </w:tcPr>
          <w:p>
            <w:pPr>
              <w:jc w:val="center"/>
              <w:rPr>
                <w:rFonts w:eastAsia="仿宋_GB2312"/>
                <w:color w:val="auto"/>
                <w:kern w:val="0"/>
                <w:sz w:val="20"/>
              </w:rPr>
            </w:pPr>
            <w:r>
              <w:rPr>
                <w:rFonts w:hint="eastAsia" w:eastAsia="仿宋_GB2312"/>
                <w:color w:val="auto"/>
                <w:kern w:val="0"/>
                <w:sz w:val="20"/>
              </w:rPr>
              <w:t>25</w:t>
            </w:r>
          </w:p>
        </w:tc>
        <w:tc>
          <w:tcPr>
            <w:tcW w:w="2410" w:type="dxa"/>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jc w:val="left"/>
        <w:rPr>
          <w:rFonts w:ascii="Times New Roman" w:hAnsi="Times New Roman" w:eastAsia="仿宋_GB2312"/>
          <w:bCs/>
          <w:color w:val="auto"/>
          <w:kern w:val="0"/>
          <w:sz w:val="28"/>
          <w:szCs w:val="28"/>
        </w:rPr>
      </w:pPr>
      <w:r>
        <w:rPr>
          <w:rFonts w:hint="eastAsia" w:ascii="Times New Roman" w:hAnsi="Times New Roman" w:eastAsia="仿宋_GB2312"/>
          <w:bCs/>
          <w:color w:val="auto"/>
          <w:kern w:val="0"/>
          <w:sz w:val="28"/>
          <w:szCs w:val="28"/>
        </w:rPr>
        <w:t>（</w:t>
      </w:r>
      <w:r>
        <w:rPr>
          <w:rFonts w:ascii="Times New Roman" w:hAnsi="Times New Roman" w:eastAsia="仿宋_GB2312"/>
          <w:bCs/>
          <w:color w:val="auto"/>
          <w:kern w:val="0"/>
          <w:sz w:val="28"/>
          <w:szCs w:val="28"/>
        </w:rPr>
        <w:t>2</w:t>
      </w:r>
      <w:r>
        <w:rPr>
          <w:rFonts w:hint="eastAsia" w:ascii="Times New Roman" w:hAnsi="Times New Roman" w:eastAsia="仿宋_GB2312"/>
          <w:bCs/>
          <w:color w:val="auto"/>
          <w:kern w:val="0"/>
          <w:sz w:val="28"/>
          <w:szCs w:val="28"/>
        </w:rPr>
        <w:t>）中国“互联网</w:t>
      </w:r>
      <w:r>
        <w:rPr>
          <w:rFont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”大学生创新创业大赛，凡得奖者（包括金奖、银奖、铜奖）即可加分，计：</w:t>
      </w:r>
    </w:p>
    <w:tbl>
      <w:tblPr>
        <w:tblStyle w:val="26"/>
        <w:tblW w:w="4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1911"/>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55" w:type="pct"/>
            <w:vAlign w:val="center"/>
          </w:tcPr>
          <w:p>
            <w:pPr>
              <w:jc w:val="center"/>
              <w:rPr>
                <w:rFonts w:eastAsia="仿宋_GB2312"/>
                <w:color w:val="auto"/>
                <w:kern w:val="0"/>
                <w:sz w:val="20"/>
              </w:rPr>
            </w:pPr>
          </w:p>
        </w:tc>
        <w:tc>
          <w:tcPr>
            <w:tcW w:w="1341"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702" w:type="pct"/>
            <w:vAlign w:val="center"/>
          </w:tcPr>
          <w:p>
            <w:pPr>
              <w:jc w:val="center"/>
              <w:rPr>
                <w:rFonts w:eastAsia="仿宋_GB2312"/>
                <w:color w:val="auto"/>
                <w:kern w:val="0"/>
                <w:sz w:val="20"/>
              </w:rPr>
            </w:pPr>
            <w:r>
              <w:rPr>
                <w:rFonts w:hint="eastAsia" w:eastAsia="仿宋_GB2312"/>
                <w:color w:val="auto"/>
                <w:kern w:val="0"/>
                <w:sz w:val="20"/>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55" w:type="pct"/>
            <w:vAlign w:val="center"/>
          </w:tcPr>
          <w:p>
            <w:pPr>
              <w:jc w:val="center"/>
              <w:rPr>
                <w:rFonts w:eastAsia="仿宋_GB2312"/>
                <w:color w:val="auto"/>
                <w:kern w:val="0"/>
                <w:sz w:val="20"/>
              </w:rPr>
            </w:pPr>
            <w:r>
              <w:rPr>
                <w:rFonts w:hint="eastAsia" w:eastAsia="仿宋_GB2312"/>
                <w:color w:val="auto"/>
                <w:kern w:val="0"/>
                <w:sz w:val="20"/>
              </w:rPr>
              <w:t>金奖团队前5名</w:t>
            </w:r>
            <w:r>
              <w:rPr>
                <w:rFonts w:hint="eastAsia" w:eastAsia="仿宋_GB2312"/>
                <w:color w:val="auto"/>
                <w:kern w:val="0"/>
                <w:sz w:val="20"/>
              </w:rPr>
              <w:t>负责人</w:t>
            </w:r>
          </w:p>
          <w:p>
            <w:pPr>
              <w:jc w:val="center"/>
              <w:rPr>
                <w:rFonts w:eastAsia="仿宋_GB2312"/>
                <w:color w:val="auto"/>
                <w:kern w:val="0"/>
                <w:sz w:val="20"/>
              </w:rPr>
            </w:pPr>
            <w:r>
              <w:rPr>
                <w:rFonts w:hint="eastAsia" w:eastAsia="仿宋_GB2312"/>
                <w:color w:val="auto"/>
                <w:kern w:val="0"/>
                <w:sz w:val="20"/>
              </w:rPr>
              <w:t>银奖团队前4名</w:t>
            </w:r>
            <w:r>
              <w:rPr>
                <w:rFonts w:hint="eastAsia" w:eastAsia="仿宋_GB2312"/>
                <w:color w:val="auto"/>
                <w:kern w:val="0"/>
                <w:sz w:val="20"/>
              </w:rPr>
              <w:t>负责人</w:t>
            </w:r>
          </w:p>
          <w:p>
            <w:pPr>
              <w:jc w:val="center"/>
              <w:rPr>
                <w:rFonts w:eastAsia="仿宋_GB2312"/>
                <w:color w:val="auto"/>
                <w:kern w:val="0"/>
                <w:sz w:val="20"/>
              </w:rPr>
            </w:pPr>
            <w:r>
              <w:rPr>
                <w:rFonts w:hint="eastAsia" w:eastAsia="仿宋_GB2312"/>
                <w:color w:val="auto"/>
                <w:kern w:val="0"/>
                <w:sz w:val="20"/>
              </w:rPr>
              <w:t>铜奖团队前3名</w:t>
            </w:r>
            <w:r>
              <w:rPr>
                <w:rFonts w:hint="eastAsia" w:eastAsia="仿宋_GB2312"/>
                <w:color w:val="auto"/>
                <w:kern w:val="0"/>
                <w:sz w:val="20"/>
              </w:rPr>
              <w:t>负责人</w:t>
            </w:r>
          </w:p>
        </w:tc>
        <w:tc>
          <w:tcPr>
            <w:tcW w:w="1341" w:type="pct"/>
            <w:vAlign w:val="center"/>
          </w:tcPr>
          <w:p>
            <w:pPr>
              <w:jc w:val="center"/>
              <w:rPr>
                <w:rFonts w:eastAsia="仿宋_GB2312"/>
                <w:color w:val="auto"/>
                <w:kern w:val="0"/>
                <w:sz w:val="20"/>
              </w:rPr>
            </w:pPr>
            <w:r>
              <w:rPr>
                <w:rFonts w:hint="eastAsia" w:eastAsia="仿宋_GB2312"/>
                <w:color w:val="auto"/>
                <w:kern w:val="0"/>
                <w:sz w:val="20"/>
              </w:rPr>
              <w:t>50</w:t>
            </w:r>
          </w:p>
        </w:tc>
        <w:tc>
          <w:tcPr>
            <w:tcW w:w="1702" w:type="pct"/>
            <w:vAlign w:val="center"/>
          </w:tcPr>
          <w:p>
            <w:pPr>
              <w:jc w:val="center"/>
              <w:rPr>
                <w:rFonts w:eastAsia="仿宋_GB2312"/>
                <w:color w:val="auto"/>
                <w:kern w:val="0"/>
                <w:sz w:val="20"/>
              </w:rPr>
            </w:pPr>
            <w:r>
              <w:rPr>
                <w:rFonts w:hint="eastAsia" w:eastAsia="仿宋_GB2312"/>
                <w:color w:val="auto"/>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55" w:type="pct"/>
            <w:vAlign w:val="center"/>
          </w:tcPr>
          <w:p>
            <w:pPr>
              <w:jc w:val="center"/>
              <w:rPr>
                <w:rFonts w:eastAsia="仿宋_GB2312"/>
                <w:color w:val="auto"/>
                <w:kern w:val="0"/>
                <w:sz w:val="20"/>
              </w:rPr>
            </w:pPr>
            <w:r>
              <w:rPr>
                <w:rFonts w:hint="eastAsia" w:eastAsia="仿宋_GB2312"/>
                <w:color w:val="auto"/>
                <w:kern w:val="0"/>
                <w:sz w:val="20"/>
              </w:rPr>
              <w:t>获奖其他团队</w:t>
            </w:r>
          </w:p>
        </w:tc>
        <w:tc>
          <w:tcPr>
            <w:tcW w:w="1341" w:type="pct"/>
            <w:vAlign w:val="center"/>
          </w:tcPr>
          <w:p>
            <w:pPr>
              <w:jc w:val="center"/>
              <w:rPr>
                <w:rFonts w:eastAsia="仿宋_GB2312"/>
                <w:color w:val="auto"/>
                <w:kern w:val="0"/>
                <w:sz w:val="20"/>
              </w:rPr>
            </w:pPr>
            <w:r>
              <w:rPr>
                <w:rFonts w:hint="eastAsia" w:eastAsia="仿宋_GB2312"/>
                <w:color w:val="auto"/>
                <w:kern w:val="0"/>
                <w:sz w:val="20"/>
              </w:rPr>
              <w:t>25</w:t>
            </w:r>
          </w:p>
        </w:tc>
        <w:tc>
          <w:tcPr>
            <w:tcW w:w="1702" w:type="pct"/>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jc w:val="left"/>
        <w:rPr>
          <w:rFonts w:ascii="Times New Roman" w:hAnsi="Times New Roman" w:eastAsia="仿宋_GB2312"/>
          <w:bCs/>
          <w:color w:val="auto"/>
          <w:kern w:val="0"/>
          <w:sz w:val="28"/>
          <w:szCs w:val="24"/>
        </w:rPr>
      </w:pPr>
      <w:r>
        <w:rPr>
          <w:rFonts w:hint="eastAsia" w:ascii="Times New Roman" w:hAnsi="Times New Roman" w:eastAsia="仿宋_GB2312"/>
          <w:bCs/>
          <w:color w:val="auto"/>
          <w:kern w:val="0"/>
          <w:sz w:val="28"/>
          <w:szCs w:val="24"/>
        </w:rPr>
        <w:t>创新创业类加分说明：</w:t>
      </w:r>
    </w:p>
    <w:p>
      <w:pPr>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①设特等奖的竞赛奖励标准为：特等奖按一等奖标准执行，依此类推，依次退一级执行。</w:t>
      </w:r>
    </w:p>
    <w:p>
      <w:pPr>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bCs/>
          <w:color w:val="auto"/>
          <w:kern w:val="0"/>
          <w:sz w:val="24"/>
          <w:szCs w:val="22"/>
        </w:rPr>
        <w:t>②同一</w:t>
      </w:r>
      <w:r>
        <w:rPr>
          <w:rFonts w:hint="eastAsia" w:ascii="Times New Roman" w:hAnsi="Times New Roman" w:eastAsia="仿宋_GB2312"/>
          <w:color w:val="auto"/>
          <w:sz w:val="24"/>
          <w:szCs w:val="22"/>
        </w:rPr>
        <w:t>创新创业类竞赛</w:t>
      </w:r>
      <w:r>
        <w:rPr>
          <w:rFonts w:ascii="Times New Roman" w:hAnsi="Times New Roman" w:eastAsia="仿宋_GB2312"/>
          <w:bCs/>
          <w:color w:val="auto"/>
          <w:kern w:val="0"/>
          <w:sz w:val="24"/>
          <w:szCs w:val="22"/>
        </w:rPr>
        <w:t>分</w:t>
      </w:r>
      <w:r>
        <w:rPr>
          <w:rFonts w:hint="eastAsia" w:ascii="Times New Roman" w:hAnsi="Times New Roman" w:eastAsia="仿宋_GB2312"/>
          <w:bCs/>
          <w:color w:val="auto"/>
          <w:kern w:val="0"/>
          <w:sz w:val="24"/>
          <w:szCs w:val="22"/>
        </w:rPr>
        <w:t>别获得多个</w:t>
      </w:r>
      <w:r>
        <w:rPr>
          <w:rFonts w:ascii="Times New Roman" w:hAnsi="Times New Roman" w:eastAsia="仿宋_GB2312"/>
          <w:bCs/>
          <w:color w:val="auto"/>
          <w:kern w:val="0"/>
          <w:sz w:val="24"/>
          <w:szCs w:val="22"/>
        </w:rPr>
        <w:t>奖励的，</w:t>
      </w:r>
      <w:r>
        <w:rPr>
          <w:rFonts w:hint="eastAsia" w:ascii="Times New Roman" w:hAnsi="Times New Roman" w:eastAsia="仿宋_GB2312"/>
          <w:bCs/>
          <w:color w:val="auto"/>
          <w:kern w:val="0"/>
          <w:sz w:val="24"/>
          <w:szCs w:val="22"/>
        </w:rPr>
        <w:t>按照“就高不就低”的原则予以认定。</w:t>
      </w:r>
    </w:p>
    <w:p>
      <w:pPr>
        <w:autoSpaceDE w:val="0"/>
        <w:autoSpaceDN w:val="0"/>
        <w:adjustRightInd w:val="0"/>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color w:val="auto"/>
          <w:sz w:val="24"/>
          <w:szCs w:val="22"/>
        </w:rPr>
        <w:t>③创新创业类竞赛</w:t>
      </w:r>
      <w:r>
        <w:rPr>
          <w:rFonts w:hint="eastAsia" w:ascii="Times New Roman" w:hAnsi="Times New Roman" w:eastAsia="仿宋_GB2312"/>
          <w:bCs/>
          <w:color w:val="auto"/>
          <w:kern w:val="0"/>
          <w:sz w:val="24"/>
          <w:szCs w:val="22"/>
        </w:rPr>
        <w:t>合作者成果认定：若团队参与人的位次不符合拔尖项目加分规则，则第一参与人认定为</w:t>
      </w:r>
      <w:r>
        <w:rPr>
          <w:rFonts w:ascii="Times New Roman" w:hAnsi="Times New Roman" w:eastAsia="仿宋_GB2312"/>
          <w:bCs/>
          <w:color w:val="auto"/>
          <w:kern w:val="0"/>
          <w:sz w:val="24"/>
          <w:szCs w:val="22"/>
        </w:rPr>
        <w:t>0.5</w:t>
      </w:r>
      <w:r>
        <w:rPr>
          <w:rFonts w:hint="eastAsia" w:ascii="Times New Roman" w:hAnsi="Times New Roman" w:eastAsia="仿宋_GB2312"/>
          <w:bCs/>
          <w:color w:val="auto"/>
          <w:kern w:val="0"/>
          <w:sz w:val="24"/>
          <w:szCs w:val="22"/>
        </w:rPr>
        <w:t>项，第二参与人认定为</w:t>
      </w:r>
      <w:r>
        <w:rPr>
          <w:rFonts w:ascii="Times New Roman" w:hAnsi="Times New Roman" w:eastAsia="仿宋_GB2312"/>
          <w:bCs/>
          <w:color w:val="auto"/>
          <w:kern w:val="0"/>
          <w:sz w:val="24"/>
          <w:szCs w:val="22"/>
        </w:rPr>
        <w:t>0.3</w:t>
      </w:r>
      <w:r>
        <w:rPr>
          <w:rFonts w:hint="eastAsia" w:ascii="Times New Roman" w:hAnsi="Times New Roman" w:eastAsia="仿宋_GB2312"/>
          <w:bCs/>
          <w:color w:val="auto"/>
          <w:kern w:val="0"/>
          <w:sz w:val="24"/>
          <w:szCs w:val="22"/>
        </w:rPr>
        <w:t>项，第三参与人认定为</w:t>
      </w:r>
      <w:r>
        <w:rPr>
          <w:rFonts w:ascii="Times New Roman" w:hAnsi="Times New Roman" w:eastAsia="仿宋_GB2312"/>
          <w:bCs/>
          <w:color w:val="auto"/>
          <w:kern w:val="0"/>
          <w:sz w:val="24"/>
          <w:szCs w:val="22"/>
        </w:rPr>
        <w:t>0.2</w:t>
      </w:r>
      <w:r>
        <w:rPr>
          <w:rFonts w:hint="eastAsia" w:ascii="Times New Roman" w:hAnsi="Times New Roman" w:eastAsia="仿宋_GB2312"/>
          <w:bCs/>
          <w:color w:val="auto"/>
          <w:kern w:val="0"/>
          <w:sz w:val="24"/>
          <w:szCs w:val="22"/>
        </w:rPr>
        <w:t>项，第四及以后者认定为</w:t>
      </w:r>
      <w:r>
        <w:rPr>
          <w:rFonts w:ascii="Times New Roman" w:hAnsi="Times New Roman" w:eastAsia="仿宋_GB2312"/>
          <w:bCs/>
          <w:color w:val="auto"/>
          <w:kern w:val="0"/>
          <w:sz w:val="24"/>
          <w:szCs w:val="22"/>
        </w:rPr>
        <w:t>0.1</w:t>
      </w:r>
      <w:r>
        <w:rPr>
          <w:rFonts w:hint="eastAsia" w:ascii="Times New Roman" w:hAnsi="Times New Roman" w:eastAsia="仿宋_GB2312"/>
          <w:bCs/>
          <w:color w:val="auto"/>
          <w:kern w:val="0"/>
          <w:sz w:val="24"/>
          <w:szCs w:val="22"/>
        </w:rPr>
        <w:t>项。</w:t>
      </w:r>
    </w:p>
    <w:p>
      <w:pPr>
        <w:autoSpaceDE w:val="0"/>
        <w:autoSpaceDN w:val="0"/>
        <w:adjustRightInd w:val="0"/>
        <w:ind w:firstLine="480" w:firstLineChars="200"/>
        <w:rPr>
          <w:rFonts w:ascii="Times New Roman" w:hAnsi="Times New Roman" w:eastAsia="仿宋_GB2312"/>
          <w:bCs/>
          <w:color w:val="auto"/>
          <w:kern w:val="0"/>
          <w:sz w:val="24"/>
          <w:szCs w:val="22"/>
        </w:rPr>
      </w:pPr>
      <w:r>
        <w:rPr>
          <w:rFonts w:hint="eastAsia" w:ascii="Times New Roman" w:hAnsi="Times New Roman" w:eastAsia="仿宋_GB2312"/>
          <w:color w:val="auto"/>
          <w:sz w:val="24"/>
          <w:szCs w:val="22"/>
        </w:rPr>
        <w:t>④创新创业类竞赛</w:t>
      </w:r>
      <w:r>
        <w:rPr>
          <w:rFonts w:hint="eastAsia" w:ascii="Times New Roman" w:hAnsi="Times New Roman" w:eastAsia="仿宋_GB2312"/>
          <w:bCs/>
          <w:color w:val="auto"/>
          <w:kern w:val="0"/>
          <w:sz w:val="24"/>
          <w:szCs w:val="22"/>
        </w:rPr>
        <w:t>第一署名单位须为“西南财经大学”或“西南财经大学公共管理学院”。</w:t>
      </w:r>
    </w:p>
    <w:p>
      <w:pPr>
        <w:ind w:firstLine="448" w:firstLineChars="200"/>
        <w:rPr>
          <w:rFonts w:ascii="Times New Roman" w:hAnsi="Times New Roman" w:eastAsia="仿宋_GB2312"/>
          <w:bCs/>
          <w:color w:val="auto"/>
          <w:spacing w:val="-8"/>
          <w:kern w:val="0"/>
          <w:sz w:val="24"/>
          <w:szCs w:val="22"/>
        </w:rPr>
      </w:pPr>
      <w:r>
        <w:rPr>
          <w:rFonts w:hint="eastAsia" w:ascii="Times New Roman" w:hAnsi="Times New Roman" w:eastAsia="仿宋_GB2312"/>
          <w:color w:val="auto"/>
          <w:spacing w:val="-8"/>
          <w:sz w:val="24"/>
          <w:szCs w:val="22"/>
        </w:rPr>
        <w:t>⑤创新创业类</w:t>
      </w:r>
      <w:r>
        <w:rPr>
          <w:rFonts w:hint="eastAsia" w:ascii="Times New Roman" w:hAnsi="Times New Roman" w:eastAsia="仿宋_GB2312"/>
          <w:bCs/>
          <w:color w:val="auto"/>
          <w:spacing w:val="-8"/>
          <w:kern w:val="0"/>
          <w:sz w:val="24"/>
          <w:szCs w:val="22"/>
        </w:rPr>
        <w:t>成果截止日期为学院报名时间截止日。</w:t>
      </w:r>
    </w:p>
    <w:p>
      <w:pPr>
        <w:ind w:firstLine="448" w:firstLineChars="200"/>
        <w:rPr>
          <w:rFonts w:ascii="Times New Roman" w:hAnsi="Times New Roman" w:eastAsia="仿宋_GB2312"/>
          <w:bCs/>
          <w:color w:val="auto"/>
          <w:spacing w:val="-8"/>
          <w:kern w:val="0"/>
          <w:sz w:val="24"/>
          <w:szCs w:val="22"/>
        </w:rPr>
      </w:pPr>
      <w:bookmarkStart w:id="6" w:name="_Hlk91665900"/>
      <w:r>
        <w:rPr>
          <w:rFonts w:hint="eastAsia" w:ascii="Times New Roman" w:hAnsi="Times New Roman" w:eastAsia="仿宋_GB2312"/>
          <w:bCs/>
          <w:color w:val="auto"/>
          <w:spacing w:val="-8"/>
          <w:kern w:val="0"/>
          <w:sz w:val="24"/>
          <w:szCs w:val="22"/>
        </w:rPr>
        <w:t>⑥创新创业类设置</w:t>
      </w:r>
      <w:r>
        <w:rPr>
          <w:rFonts w:hint="cs" w:ascii="Times New Roman" w:hAnsi="Times New Roman" w:eastAsia="仿宋_GB2312"/>
          <w:bCs/>
          <w:color w:val="auto"/>
          <w:spacing w:val="-8"/>
          <w:kern w:val="0"/>
          <w:sz w:val="24"/>
          <w:szCs w:val="22"/>
        </w:rPr>
        <w:t>“</w:t>
      </w:r>
      <w:r>
        <w:rPr>
          <w:rFonts w:hint="eastAsia" w:ascii="Times New Roman" w:hAnsi="Times New Roman" w:eastAsia="仿宋_GB2312"/>
          <w:bCs/>
          <w:color w:val="auto"/>
          <w:spacing w:val="-8"/>
          <w:kern w:val="0"/>
          <w:sz w:val="24"/>
          <w:szCs w:val="22"/>
        </w:rPr>
        <w:t>挑战杯</w:t>
      </w:r>
      <w:r>
        <w:rPr>
          <w:rFonts w:hint="cs" w:ascii="Times New Roman" w:hAnsi="Times New Roman" w:eastAsia="仿宋_GB2312"/>
          <w:bCs/>
          <w:color w:val="auto"/>
          <w:spacing w:val="-8"/>
          <w:kern w:val="0"/>
          <w:sz w:val="24"/>
          <w:szCs w:val="22"/>
        </w:rPr>
        <w:t>”</w:t>
      </w:r>
      <w:r>
        <w:rPr>
          <w:rFonts w:hint="eastAsia" w:ascii="Times New Roman" w:hAnsi="Times New Roman" w:eastAsia="仿宋_GB2312"/>
          <w:bCs/>
          <w:color w:val="auto"/>
          <w:spacing w:val="-8"/>
          <w:kern w:val="0"/>
          <w:sz w:val="24"/>
          <w:szCs w:val="22"/>
        </w:rPr>
        <w:t>大学生课外学术科技作品竞赛、</w:t>
      </w:r>
      <w:r>
        <w:rPr>
          <w:rFonts w:hint="cs" w:ascii="Times New Roman" w:hAnsi="Times New Roman" w:eastAsia="仿宋_GB2312"/>
          <w:bCs/>
          <w:color w:val="auto"/>
          <w:spacing w:val="-8"/>
          <w:kern w:val="0"/>
          <w:sz w:val="24"/>
          <w:szCs w:val="22"/>
        </w:rPr>
        <w:t>“</w:t>
      </w:r>
      <w:r>
        <w:rPr>
          <w:rFonts w:hint="eastAsia" w:ascii="Times New Roman" w:hAnsi="Times New Roman" w:eastAsia="仿宋_GB2312"/>
          <w:bCs/>
          <w:color w:val="auto"/>
          <w:spacing w:val="-8"/>
          <w:kern w:val="0"/>
          <w:sz w:val="24"/>
          <w:szCs w:val="22"/>
        </w:rPr>
        <w:t>创青春</w:t>
      </w:r>
      <w:r>
        <w:rPr>
          <w:rFonts w:hint="cs" w:ascii="Times New Roman" w:hAnsi="Times New Roman" w:eastAsia="仿宋_GB2312"/>
          <w:bCs/>
          <w:color w:val="auto"/>
          <w:spacing w:val="-8"/>
          <w:kern w:val="0"/>
          <w:sz w:val="24"/>
          <w:szCs w:val="22"/>
        </w:rPr>
        <w:t>”</w:t>
      </w:r>
      <w:r>
        <w:rPr>
          <w:rFonts w:hint="eastAsia" w:ascii="Times New Roman" w:hAnsi="Times New Roman" w:eastAsia="仿宋_GB2312"/>
          <w:bCs/>
          <w:color w:val="auto"/>
          <w:spacing w:val="-8"/>
          <w:kern w:val="0"/>
          <w:sz w:val="24"/>
          <w:szCs w:val="22"/>
        </w:rPr>
        <w:t>大学生创业大赛、</w:t>
      </w:r>
      <w:r>
        <w:rPr>
          <w:rFonts w:hint="cs" w:ascii="Times New Roman" w:hAnsi="Times New Roman" w:eastAsia="仿宋_GB2312"/>
          <w:bCs/>
          <w:color w:val="auto"/>
          <w:spacing w:val="-8"/>
          <w:kern w:val="0"/>
          <w:sz w:val="24"/>
          <w:szCs w:val="22"/>
        </w:rPr>
        <w:t>“</w:t>
      </w:r>
      <w:r>
        <w:rPr>
          <w:rFonts w:hint="eastAsia" w:ascii="Times New Roman" w:hAnsi="Times New Roman" w:eastAsia="仿宋_GB2312"/>
          <w:bCs/>
          <w:color w:val="auto"/>
          <w:spacing w:val="-8"/>
          <w:kern w:val="0"/>
          <w:sz w:val="24"/>
          <w:szCs w:val="22"/>
        </w:rPr>
        <w:t>互联网</w:t>
      </w:r>
      <w:r>
        <w:rPr>
          <w:rFonts w:ascii="Times New Roman" w:hAnsi="Times New Roman" w:eastAsia="仿宋_GB2312"/>
          <w:bCs/>
          <w:color w:val="auto"/>
          <w:spacing w:val="-8"/>
          <w:kern w:val="0"/>
          <w:sz w:val="24"/>
          <w:szCs w:val="22"/>
        </w:rPr>
        <w:t>+</w:t>
      </w:r>
      <w:r>
        <w:rPr>
          <w:rFonts w:hint="cs" w:ascii="Times New Roman" w:hAnsi="Times New Roman" w:eastAsia="仿宋_GB2312"/>
          <w:bCs/>
          <w:color w:val="auto"/>
          <w:spacing w:val="-8"/>
          <w:kern w:val="0"/>
          <w:sz w:val="24"/>
          <w:szCs w:val="22"/>
        </w:rPr>
        <w:t>”</w:t>
      </w:r>
      <w:r>
        <w:rPr>
          <w:rFonts w:hint="eastAsia" w:ascii="Times New Roman" w:hAnsi="Times New Roman" w:eastAsia="仿宋_GB2312"/>
          <w:bCs/>
          <w:color w:val="auto"/>
          <w:spacing w:val="-8"/>
          <w:kern w:val="0"/>
          <w:sz w:val="24"/>
          <w:szCs w:val="22"/>
        </w:rPr>
        <w:t>新大学生创新创业大赛方面，学生在不同方面获得奖项可以累积加分，在同一方面中有多项加分情况时，只取最高一项。</w:t>
      </w:r>
    </w:p>
    <w:bookmarkEnd w:id="6"/>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4</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服兵役类</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在校期间完成服兵役，加</w:t>
      </w:r>
      <w:r>
        <w:rPr>
          <w:rFonts w:ascii="Times New Roman" w:hAnsi="Times New Roman" w:eastAsia="仿宋_GB2312"/>
          <w:color w:val="auto"/>
          <w:sz w:val="28"/>
          <w:szCs w:val="28"/>
        </w:rPr>
        <w:t>20</w:t>
      </w:r>
      <w:r>
        <w:rPr>
          <w:rFonts w:hint="eastAsia" w:ascii="Times New Roman" w:hAnsi="Times New Roman" w:eastAsia="仿宋_GB2312"/>
          <w:color w:val="auto"/>
          <w:sz w:val="28"/>
          <w:szCs w:val="28"/>
        </w:rPr>
        <w:t>分。</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rPr>
        <w:t>服兵役类设置一个方面，学生在同一方面中有多项加分情况时，只取最高一项。</w:t>
      </w:r>
    </w:p>
    <w:p>
      <w:pPr>
        <w:spacing w:line="560" w:lineRule="exact"/>
        <w:ind w:firstLine="560"/>
        <w:rPr>
          <w:rFonts w:ascii="Times New Roman" w:hAnsi="Times New Roman" w:eastAsia="仿宋_GB2312"/>
          <w:color w:val="auto"/>
          <w:sz w:val="28"/>
          <w:szCs w:val="28"/>
        </w:rPr>
      </w:pPr>
      <w:r>
        <w:rPr>
          <w:rFonts w:hint="eastAsia" w:ascii="Times New Roman" w:hAnsi="Times New Roman" w:eastAsia="仿宋_GB2312"/>
          <w:color w:val="auto"/>
          <w:sz w:val="28"/>
          <w:szCs w:val="28"/>
        </w:rPr>
        <w:t>5</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社会实践类</w:t>
      </w:r>
    </w:p>
    <w:p>
      <w:pPr>
        <w:spacing w:line="560" w:lineRule="exact"/>
        <w:ind w:firstLine="560" w:firstLineChars="200"/>
        <w:rPr>
          <w:rFonts w:hint="eastAsia" w:ascii="Times New Roman" w:hAnsi="Times New Roman" w:eastAsia="仿宋_GB2312"/>
          <w:bCs/>
          <w:color w:val="auto"/>
          <w:kern w:val="0"/>
          <w:sz w:val="28"/>
          <w:szCs w:val="28"/>
        </w:rPr>
      </w:pPr>
      <w:r>
        <w:rPr>
          <w:rFonts w:hint="eastAsia" w:ascii="Times New Roman" w:hAnsi="Times New Roman" w:eastAsia="仿宋_GB2312"/>
          <w:bCs/>
          <w:color w:val="auto"/>
          <w:kern w:val="0"/>
          <w:sz w:val="28"/>
          <w:szCs w:val="28"/>
        </w:rPr>
        <w:t>社会实践类包含</w:t>
      </w:r>
      <w:r>
        <w:rPr>
          <w:rFonts w:hint="eastAsia" w:ascii="Times New Roman" w:hAnsi="Times New Roman" w:eastAsia="仿宋_GB2312"/>
          <w:bCs/>
          <w:color w:val="auto"/>
          <w:kern w:val="0"/>
          <w:sz w:val="28"/>
          <w:szCs w:val="28"/>
        </w:rPr>
        <w:t>社会实践</w:t>
      </w:r>
      <w:r>
        <w:rPr>
          <w:rFonts w:hint="eastAsia" w:ascii="Times New Roman" w:hAnsi="Times New Roman" w:eastAsia="仿宋_GB2312"/>
          <w:bCs/>
          <w:color w:val="auto"/>
          <w:kern w:val="0"/>
          <w:sz w:val="28"/>
          <w:szCs w:val="28"/>
          <w:lang w:val="en-US" w:eastAsia="zh-CN"/>
        </w:rPr>
        <w:t>类称号</w:t>
      </w:r>
      <w:r>
        <w:rPr>
          <w:rFonts w:hint="eastAsia" w:ascii="Times New Roman" w:hAnsi="Times New Roman" w:eastAsia="仿宋_GB2312"/>
          <w:bCs/>
          <w:color w:val="auto"/>
          <w:kern w:val="0"/>
          <w:sz w:val="28"/>
          <w:szCs w:val="28"/>
        </w:rPr>
        <w:t>、国际组织实习与实践</w:t>
      </w:r>
      <w:r>
        <w:rPr>
          <w:rFonts w:hint="eastAsia" w:ascii="Times New Roman" w:hAnsi="Times New Roman" w:eastAsia="仿宋_GB2312"/>
          <w:bCs/>
          <w:color w:val="auto"/>
          <w:kern w:val="0"/>
          <w:sz w:val="28"/>
          <w:szCs w:val="28"/>
          <w:lang w:eastAsia="zh-CN"/>
        </w:rPr>
        <w:t>、</w:t>
      </w:r>
      <w:r>
        <w:rPr>
          <w:rFonts w:hint="eastAsia" w:ascii="Times New Roman" w:hAnsi="Times New Roman" w:eastAsia="仿宋_GB2312"/>
          <w:bCs/>
          <w:color w:val="auto"/>
          <w:kern w:val="0"/>
          <w:sz w:val="28"/>
          <w:szCs w:val="28"/>
          <w:lang w:val="en-US" w:eastAsia="zh-CN"/>
        </w:rPr>
        <w:t>参加国际组织会议、社会志愿服务项目大赛</w:t>
      </w:r>
      <w:r>
        <w:rPr>
          <w:rFonts w:hint="eastAsia" w:ascii="Times New Roman" w:hAnsi="Times New Roman" w:eastAsia="仿宋_GB2312"/>
          <w:bCs/>
          <w:color w:val="auto"/>
          <w:kern w:val="0"/>
          <w:sz w:val="28"/>
          <w:szCs w:val="28"/>
        </w:rPr>
        <w:t>方面。</w:t>
      </w:r>
    </w:p>
    <w:p>
      <w:pPr>
        <w:spacing w:line="560" w:lineRule="exact"/>
        <w:ind w:firstLine="560" w:firstLineChars="200"/>
        <w:rPr>
          <w:rFonts w:ascii="Times New Roman" w:hAnsi="Times New Roman" w:eastAsia="仿宋_GB2312"/>
          <w:color w:val="auto"/>
          <w:kern w:val="0"/>
          <w:sz w:val="28"/>
          <w:szCs w:val="28"/>
        </w:rPr>
      </w:pPr>
      <w:r>
        <w:rPr>
          <w:rFonts w:hint="eastAsia" w:ascii="Times New Roman" w:hAnsi="Times New Roman" w:eastAsia="仿宋_GB2312"/>
          <w:bCs/>
          <w:color w:val="auto"/>
          <w:kern w:val="0"/>
          <w:sz w:val="28"/>
          <w:szCs w:val="28"/>
        </w:rPr>
        <w:t>社会实践</w:t>
      </w:r>
      <w:r>
        <w:rPr>
          <w:rFonts w:hint="eastAsia" w:ascii="Times New Roman" w:hAnsi="Times New Roman" w:eastAsia="仿宋_GB2312"/>
          <w:bCs/>
          <w:color w:val="auto"/>
          <w:kern w:val="0"/>
          <w:sz w:val="28"/>
          <w:szCs w:val="28"/>
          <w:lang w:val="en-US" w:eastAsia="zh-CN"/>
        </w:rPr>
        <w:t>类</w:t>
      </w:r>
      <w:r>
        <w:rPr>
          <w:rFonts w:hint="eastAsia" w:ascii="Times New Roman" w:hAnsi="Times New Roman" w:eastAsia="仿宋_GB2312"/>
          <w:bCs/>
          <w:color w:val="auto"/>
          <w:kern w:val="0"/>
          <w:sz w:val="28"/>
          <w:szCs w:val="28"/>
          <w:lang w:val="en-US" w:eastAsia="zh-CN"/>
        </w:rPr>
        <w:t>称号</w:t>
      </w:r>
      <w:r>
        <w:rPr>
          <w:rFonts w:hint="eastAsia" w:ascii="Times New Roman" w:hAnsi="Times New Roman" w:eastAsia="仿宋_GB2312"/>
          <w:bCs/>
          <w:color w:val="auto"/>
          <w:kern w:val="0"/>
          <w:sz w:val="28"/>
          <w:szCs w:val="28"/>
        </w:rPr>
        <w:t>包含</w:t>
      </w:r>
      <w:r>
        <w:rPr>
          <w:rFonts w:hint="c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三下乡</w:t>
      </w:r>
      <w:r>
        <w:rPr>
          <w:rFonts w:hint="c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社会实践先进个人称号、</w:t>
      </w:r>
      <w:r>
        <w:rPr>
          <w:rFonts w:hint="c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三下乡</w:t>
      </w:r>
      <w:r>
        <w:rPr>
          <w:rFonts w:hint="c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社会实践优秀团队、</w:t>
      </w:r>
      <w:r>
        <w:rPr>
          <w:rFonts w:hint="c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优秀青年志愿者</w:t>
      </w:r>
      <w:r>
        <w:rPr>
          <w:rFonts w:hint="cs" w:ascii="Times New Roman" w:hAnsi="Times New Roman" w:eastAsia="仿宋_GB2312"/>
          <w:bCs/>
          <w:color w:val="auto"/>
          <w:kern w:val="0"/>
          <w:sz w:val="28"/>
          <w:szCs w:val="28"/>
        </w:rPr>
        <w:t>”</w:t>
      </w:r>
      <w:r>
        <w:rPr>
          <w:rFonts w:hint="eastAsia" w:ascii="Times New Roman" w:hAnsi="Times New Roman" w:eastAsia="仿宋_GB2312"/>
          <w:bCs/>
          <w:color w:val="auto"/>
          <w:kern w:val="0"/>
          <w:sz w:val="28"/>
          <w:szCs w:val="28"/>
        </w:rPr>
        <w:t>称号。其他省级</w:t>
      </w:r>
      <w:r>
        <w:rPr>
          <w:rFonts w:hint="eastAsia" w:ascii="Times New Roman" w:hAnsi="Times New Roman" w:eastAsia="仿宋_GB2312"/>
          <w:bCs/>
          <w:color w:val="auto"/>
          <w:kern w:val="0"/>
          <w:sz w:val="28"/>
          <w:szCs w:val="28"/>
          <w:lang w:val="en-US" w:eastAsia="zh-CN"/>
        </w:rPr>
        <w:t>及</w:t>
      </w:r>
      <w:r>
        <w:rPr>
          <w:rFonts w:hint="eastAsia" w:ascii="Times New Roman" w:hAnsi="Times New Roman" w:eastAsia="仿宋_GB2312"/>
          <w:bCs/>
          <w:color w:val="auto"/>
          <w:kern w:val="0"/>
          <w:sz w:val="28"/>
          <w:szCs w:val="28"/>
        </w:rPr>
        <w:t>以上称号，</w:t>
      </w:r>
      <w:r>
        <w:rPr>
          <w:rFonts w:hint="eastAsia" w:ascii="Times New Roman" w:hAnsi="Times New Roman" w:eastAsia="仿宋_GB2312"/>
          <w:color w:val="auto"/>
          <w:kern w:val="0"/>
          <w:sz w:val="28"/>
          <w:szCs w:val="28"/>
        </w:rPr>
        <w:t>其适用性须经</w:t>
      </w:r>
      <w:r>
        <w:rPr>
          <w:rFonts w:hint="eastAsia" w:ascii="Times New Roman" w:hAnsi="Times New Roman" w:eastAsia="仿宋_GB2312"/>
          <w:color w:val="auto"/>
          <w:kern w:val="0"/>
          <w:sz w:val="28"/>
          <w:szCs w:val="28"/>
        </w:rPr>
        <w:t>学院工作小组</w:t>
      </w:r>
      <w:r>
        <w:rPr>
          <w:rFonts w:hint="eastAsia" w:ascii="Times New Roman" w:hAnsi="Times New Roman" w:eastAsia="仿宋_GB2312"/>
          <w:color w:val="auto"/>
          <w:kern w:val="0"/>
          <w:sz w:val="28"/>
          <w:szCs w:val="28"/>
        </w:rPr>
        <w:t>认定方能计分。社会实践类称号加分规则如下：</w:t>
      </w:r>
    </w:p>
    <w:tbl>
      <w:tblPr>
        <w:tblStyle w:val="26"/>
        <w:tblW w:w="4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2"/>
        <w:gridCol w:w="1031"/>
        <w:gridCol w:w="144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pct"/>
          </w:tcPr>
          <w:p>
            <w:pPr>
              <w:jc w:val="center"/>
              <w:rPr>
                <w:rFonts w:hint="eastAsia" w:eastAsia="仿宋_GB2312"/>
                <w:color w:val="auto"/>
                <w:kern w:val="0"/>
                <w:sz w:val="20"/>
              </w:rPr>
            </w:pPr>
          </w:p>
        </w:tc>
        <w:tc>
          <w:tcPr>
            <w:tcW w:w="709" w:type="pct"/>
          </w:tcPr>
          <w:p>
            <w:pPr>
              <w:jc w:val="center"/>
              <w:rPr>
                <w:rFonts w:eastAsia="仿宋_GB2312"/>
                <w:color w:val="auto"/>
                <w:kern w:val="0"/>
                <w:sz w:val="20"/>
              </w:rPr>
            </w:pPr>
            <w:r>
              <w:rPr>
                <w:rFonts w:hint="eastAsia" w:eastAsia="仿宋_GB2312"/>
                <w:color w:val="auto"/>
                <w:kern w:val="0"/>
                <w:sz w:val="20"/>
              </w:rPr>
              <w:t>国家级</w:t>
            </w:r>
          </w:p>
        </w:tc>
        <w:tc>
          <w:tcPr>
            <w:tcW w:w="993" w:type="pct"/>
          </w:tcPr>
          <w:p>
            <w:pPr>
              <w:jc w:val="center"/>
              <w:rPr>
                <w:rFonts w:eastAsia="仿宋_GB2312"/>
                <w:color w:val="auto"/>
                <w:kern w:val="0"/>
                <w:sz w:val="20"/>
              </w:rPr>
            </w:pPr>
            <w:r>
              <w:rPr>
                <w:rFonts w:hint="eastAsia" w:eastAsia="仿宋_GB2312"/>
                <w:color w:val="auto"/>
                <w:kern w:val="0"/>
                <w:sz w:val="20"/>
              </w:rPr>
              <w:t>省级</w:t>
            </w:r>
          </w:p>
        </w:tc>
        <w:tc>
          <w:tcPr>
            <w:tcW w:w="709" w:type="pct"/>
          </w:tcPr>
          <w:p>
            <w:pPr>
              <w:jc w:val="center"/>
              <w:rPr>
                <w:rFonts w:eastAsia="仿宋_GB2312"/>
                <w:color w:val="auto"/>
                <w:kern w:val="0"/>
                <w:sz w:val="20"/>
              </w:rPr>
            </w:pPr>
            <w:r>
              <w:rPr>
                <w:rFonts w:hint="eastAsia" w:eastAsia="仿宋_GB2312"/>
                <w:color w:val="auto"/>
                <w:kern w:val="0"/>
                <w:sz w:val="20"/>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pct"/>
          </w:tcPr>
          <w:p>
            <w:pPr>
              <w:jc w:val="left"/>
              <w:rPr>
                <w:rFonts w:hint="eastAsia" w:eastAsia="仿宋_GB2312"/>
                <w:color w:val="auto"/>
                <w:kern w:val="0"/>
                <w:sz w:val="20"/>
              </w:rPr>
            </w:pPr>
            <w:r>
              <w:rPr>
                <w:rFonts w:hint="eastAsia" w:eastAsia="仿宋_GB2312"/>
                <w:color w:val="auto"/>
                <w:kern w:val="0"/>
                <w:sz w:val="20"/>
              </w:rPr>
              <w:t>“三下乡”社会实践先进个人称号获得者</w:t>
            </w:r>
          </w:p>
        </w:tc>
        <w:tc>
          <w:tcPr>
            <w:tcW w:w="709" w:type="pct"/>
            <w:vAlign w:val="center"/>
          </w:tcPr>
          <w:p>
            <w:pPr>
              <w:jc w:val="center"/>
              <w:rPr>
                <w:rFonts w:eastAsia="仿宋_GB2312"/>
                <w:color w:val="auto"/>
                <w:kern w:val="0"/>
                <w:sz w:val="20"/>
              </w:rPr>
            </w:pPr>
            <w:r>
              <w:rPr>
                <w:rFonts w:hint="eastAsia" w:eastAsia="仿宋_GB2312"/>
                <w:color w:val="auto"/>
                <w:kern w:val="0"/>
                <w:sz w:val="20"/>
              </w:rPr>
              <w:t>50</w:t>
            </w:r>
          </w:p>
        </w:tc>
        <w:tc>
          <w:tcPr>
            <w:tcW w:w="993" w:type="pct"/>
            <w:vAlign w:val="center"/>
          </w:tcPr>
          <w:p>
            <w:pPr>
              <w:jc w:val="center"/>
              <w:rPr>
                <w:rFonts w:eastAsia="仿宋_GB2312"/>
                <w:color w:val="auto"/>
                <w:kern w:val="0"/>
                <w:sz w:val="20"/>
              </w:rPr>
            </w:pPr>
            <w:r>
              <w:rPr>
                <w:rFonts w:hint="eastAsia" w:eastAsia="仿宋_GB2312"/>
                <w:color w:val="auto"/>
                <w:kern w:val="0"/>
                <w:sz w:val="20"/>
              </w:rPr>
              <w:t>25</w:t>
            </w:r>
          </w:p>
        </w:tc>
        <w:tc>
          <w:tcPr>
            <w:tcW w:w="709" w:type="pct"/>
            <w:vAlign w:val="center"/>
          </w:tcPr>
          <w:p>
            <w:pPr>
              <w:jc w:val="center"/>
              <w:rPr>
                <w:rFonts w:eastAsia="仿宋_GB2312"/>
                <w:color w:val="auto"/>
                <w:kern w:val="0"/>
                <w:sz w:val="20"/>
              </w:rPr>
            </w:pPr>
            <w:r>
              <w:rPr>
                <w:rFonts w:hint="eastAsia" w:eastAsia="仿宋_GB2312"/>
                <w:color w:val="auto"/>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pct"/>
          </w:tcPr>
          <w:p>
            <w:pPr>
              <w:jc w:val="left"/>
              <w:rPr>
                <w:rFonts w:hint="eastAsia" w:eastAsia="仿宋_GB2312"/>
                <w:color w:val="auto"/>
                <w:kern w:val="0"/>
                <w:sz w:val="20"/>
              </w:rPr>
            </w:pPr>
            <w:r>
              <w:rPr>
                <w:rFonts w:hint="eastAsia" w:eastAsia="仿宋_GB2312"/>
                <w:color w:val="auto"/>
                <w:kern w:val="0"/>
                <w:sz w:val="20"/>
              </w:rPr>
              <w:t>“优秀青年志愿者”称号获得者</w:t>
            </w:r>
          </w:p>
        </w:tc>
        <w:tc>
          <w:tcPr>
            <w:tcW w:w="709"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50</w:t>
            </w:r>
          </w:p>
        </w:tc>
        <w:tc>
          <w:tcPr>
            <w:tcW w:w="993"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25</w:t>
            </w:r>
          </w:p>
        </w:tc>
        <w:tc>
          <w:tcPr>
            <w:tcW w:w="709"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8" w:type="pct"/>
          </w:tcPr>
          <w:p>
            <w:pPr>
              <w:jc w:val="left"/>
              <w:rPr>
                <w:rFonts w:hint="eastAsia" w:eastAsia="仿宋_GB2312"/>
                <w:color w:val="auto"/>
                <w:kern w:val="0"/>
                <w:sz w:val="20"/>
              </w:rPr>
            </w:pPr>
            <w:r>
              <w:rPr>
                <w:rFonts w:hint="eastAsia" w:eastAsia="仿宋_GB2312"/>
                <w:color w:val="auto"/>
                <w:kern w:val="0"/>
                <w:sz w:val="20"/>
              </w:rPr>
              <w:t>“三下乡”社会实践优秀团队</w:t>
            </w:r>
          </w:p>
        </w:tc>
        <w:tc>
          <w:tcPr>
            <w:tcW w:w="709"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50</w:t>
            </w:r>
          </w:p>
        </w:tc>
        <w:tc>
          <w:tcPr>
            <w:tcW w:w="993"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25</w:t>
            </w:r>
          </w:p>
        </w:tc>
        <w:tc>
          <w:tcPr>
            <w:tcW w:w="709"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rPr>
              <w:t>1</w:t>
            </w:r>
          </w:p>
        </w:tc>
      </w:tr>
    </w:tbl>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国际组织实习</w:t>
      </w:r>
      <w:r>
        <w:rPr>
          <w:rFonts w:hint="eastAsia" w:ascii="Times New Roman" w:hAnsi="Times New Roman" w:eastAsia="仿宋_GB2312"/>
          <w:color w:val="auto"/>
          <w:sz w:val="28"/>
          <w:szCs w:val="28"/>
          <w:lang w:val="en-US" w:eastAsia="zh-CN"/>
        </w:rPr>
        <w:t>与</w:t>
      </w:r>
      <w:r>
        <w:rPr>
          <w:rFonts w:hint="eastAsia" w:ascii="Times New Roman" w:hAnsi="Times New Roman" w:eastAsia="仿宋_GB2312"/>
          <w:color w:val="auto"/>
          <w:sz w:val="28"/>
          <w:szCs w:val="28"/>
        </w:rPr>
        <w:t>实践加分</w:t>
      </w:r>
      <w:r>
        <w:rPr>
          <w:rFonts w:hint="eastAsia" w:ascii="Times New Roman" w:hAnsi="Times New Roman" w:eastAsia="仿宋_GB2312"/>
          <w:color w:val="auto"/>
          <w:sz w:val="28"/>
          <w:szCs w:val="28"/>
          <w:lang w:val="en-US" w:eastAsia="zh-CN"/>
        </w:rPr>
        <w:t>规则如下</w:t>
      </w:r>
      <w:r>
        <w:rPr>
          <w:rFonts w:hint="eastAsia" w:ascii="Times New Roman" w:hAnsi="Times New Roman" w:eastAsia="仿宋_GB2312"/>
          <w:color w:val="auto"/>
          <w:sz w:val="28"/>
          <w:szCs w:val="28"/>
        </w:rPr>
        <w:t>：</w:t>
      </w:r>
    </w:p>
    <w:tbl>
      <w:tblPr>
        <w:tblStyle w:val="26"/>
        <w:tblW w:w="4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56" w:type="pct"/>
            <w:vAlign w:val="center"/>
          </w:tcPr>
          <w:p>
            <w:pPr>
              <w:jc w:val="left"/>
              <w:rPr>
                <w:rFonts w:eastAsia="仿宋_GB2312"/>
                <w:color w:val="auto"/>
                <w:kern w:val="0"/>
                <w:sz w:val="20"/>
              </w:rPr>
            </w:pPr>
            <w:r>
              <w:rPr>
                <w:rFonts w:hint="eastAsia" w:eastAsia="仿宋_GB2312"/>
                <w:color w:val="auto"/>
                <w:kern w:val="0"/>
                <w:sz w:val="20"/>
                <w:lang w:val="en-US" w:eastAsia="zh-CN"/>
              </w:rPr>
              <w:t>取得我国人力资源和社会保障部所列的国际组织3个月及以上实习录用通知书或工作录用通知书，并切实参加实习或接受工作的（截止当年学校推免生工作通知确定的时间前）</w:t>
            </w:r>
          </w:p>
        </w:tc>
        <w:tc>
          <w:tcPr>
            <w:tcW w:w="1243" w:type="pct"/>
            <w:vAlign w:val="center"/>
          </w:tcPr>
          <w:p>
            <w:pPr>
              <w:jc w:val="center"/>
              <w:rPr>
                <w:rFonts w:hint="default" w:eastAsia="仿宋_GB2312"/>
                <w:color w:val="auto"/>
                <w:kern w:val="0"/>
                <w:sz w:val="20"/>
                <w:lang w:val="en-US" w:eastAsia="zh-CN"/>
              </w:rPr>
            </w:pPr>
            <w:r>
              <w:rPr>
                <w:rFonts w:hint="eastAsia" w:eastAsia="仿宋_GB2312"/>
                <w:color w:val="auto"/>
                <w:kern w:val="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6" w:type="pct"/>
            <w:vAlign w:val="center"/>
          </w:tcPr>
          <w:p>
            <w:pPr>
              <w:jc w:val="left"/>
              <w:rPr>
                <w:rFonts w:eastAsia="仿宋_GB2312"/>
                <w:color w:val="auto"/>
                <w:kern w:val="0"/>
                <w:sz w:val="20"/>
              </w:rPr>
            </w:pPr>
            <w:r>
              <w:rPr>
                <w:rFonts w:hint="eastAsia" w:eastAsia="仿宋_GB2312"/>
                <w:color w:val="auto"/>
                <w:kern w:val="0"/>
                <w:sz w:val="20"/>
              </w:rPr>
              <w:t>参加我国人力资源和社会保障部或教育部所列的国际组织主办或承办的国际性会议志愿者活动</w:t>
            </w:r>
          </w:p>
        </w:tc>
        <w:tc>
          <w:tcPr>
            <w:tcW w:w="1243" w:type="pct"/>
            <w:vAlign w:val="center"/>
          </w:tcPr>
          <w:p>
            <w:pPr>
              <w:jc w:val="center"/>
              <w:rPr>
                <w:rFonts w:eastAsia="仿宋_GB2312"/>
                <w:color w:val="auto"/>
                <w:kern w:val="0"/>
                <w:sz w:val="20"/>
              </w:rPr>
            </w:pPr>
            <w:r>
              <w:rPr>
                <w:rFonts w:hint="eastAsia" w:eastAsia="仿宋_GB2312"/>
                <w:color w:val="auto"/>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756" w:type="pct"/>
            <w:vAlign w:val="center"/>
          </w:tcPr>
          <w:p>
            <w:pPr>
              <w:jc w:val="left"/>
              <w:rPr>
                <w:rFonts w:eastAsia="仿宋_GB2312"/>
                <w:color w:val="auto"/>
                <w:kern w:val="0"/>
                <w:sz w:val="20"/>
              </w:rPr>
            </w:pPr>
            <w:r>
              <w:rPr>
                <w:rFonts w:hint="eastAsia" w:eastAsia="仿宋_GB2312"/>
                <w:color w:val="auto"/>
                <w:kern w:val="0"/>
                <w:sz w:val="20"/>
              </w:rPr>
              <w:t>参加人力资源和社会保障部或教育部等主办的以国际组织为主题的会议和培训三天及以上的</w:t>
            </w:r>
          </w:p>
        </w:tc>
        <w:tc>
          <w:tcPr>
            <w:tcW w:w="1243" w:type="pct"/>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rPr>
          <w:rFonts w:hint="eastAsia"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参加国际组织会议加分规则如下：</w:t>
      </w:r>
    </w:p>
    <w:tbl>
      <w:tblPr>
        <w:tblStyle w:val="26"/>
        <w:tblW w:w="4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3762" w:type="pct"/>
            <w:vAlign w:val="center"/>
          </w:tcPr>
          <w:p>
            <w:pPr>
              <w:jc w:val="left"/>
              <w:rPr>
                <w:rFonts w:hint="default"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lang w:val="en-US" w:eastAsia="zh-CN"/>
              </w:rPr>
              <w:t>受邀参加我国人力资源和社会保障部所列的国际组织主办或承办的国际性主会议或分会议并在会议中进行主题发言或做报告1次及以上</w:t>
            </w:r>
          </w:p>
        </w:tc>
        <w:tc>
          <w:tcPr>
            <w:tcW w:w="1237" w:type="pct"/>
            <w:vAlign w:val="center"/>
          </w:tcPr>
          <w:p>
            <w:pPr>
              <w:jc w:val="center"/>
              <w:rPr>
                <w:rFonts w:hint="default"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62" w:type="pct"/>
            <w:vAlign w:val="center"/>
          </w:tcPr>
          <w:p>
            <w:pPr>
              <w:jc w:val="left"/>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lang w:val="en-US" w:eastAsia="zh-CN"/>
              </w:rPr>
              <w:t xml:space="preserve">受邀参加我国人力资源和社会保障部所列的国际组织主办或承办的国际性主会议2次及以上 </w:t>
            </w:r>
          </w:p>
        </w:tc>
        <w:tc>
          <w:tcPr>
            <w:tcW w:w="1237" w:type="pct"/>
            <w:vAlign w:val="center"/>
          </w:tcPr>
          <w:p>
            <w:pPr>
              <w:jc w:val="center"/>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62" w:type="pct"/>
            <w:vAlign w:val="center"/>
          </w:tcPr>
          <w:p>
            <w:pPr>
              <w:jc w:val="left"/>
              <w:rPr>
                <w:rFonts w:hint="eastAsia"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lang w:val="en-US" w:eastAsia="zh-CN"/>
              </w:rPr>
              <w:t xml:space="preserve">受邀参加我国人力资源和社会保障部所列的国际组织主办或承办的国际性主会议1次 </w:t>
            </w:r>
          </w:p>
        </w:tc>
        <w:tc>
          <w:tcPr>
            <w:tcW w:w="1237" w:type="pct"/>
            <w:vAlign w:val="center"/>
          </w:tcPr>
          <w:p>
            <w:pPr>
              <w:jc w:val="center"/>
              <w:rPr>
                <w:rFonts w:hint="default" w:eastAsia="仿宋_GB2312" w:asciiTheme="minorHAnsi" w:hAnsiTheme="minorHAnsi" w:cstheme="minorBidi"/>
                <w:color w:val="auto"/>
                <w:kern w:val="0"/>
                <w:sz w:val="20"/>
                <w:szCs w:val="21"/>
                <w:lang w:val="en-US" w:eastAsia="zh-CN" w:bidi="ar-SA"/>
              </w:rPr>
            </w:pPr>
            <w:r>
              <w:rPr>
                <w:rFonts w:hint="eastAsia" w:eastAsia="仿宋_GB2312"/>
                <w:color w:val="auto"/>
                <w:kern w:val="0"/>
                <w:sz w:val="20"/>
                <w:lang w:val="en-US" w:eastAsia="zh-CN"/>
              </w:rPr>
              <w:t>25</w:t>
            </w:r>
          </w:p>
        </w:tc>
      </w:tr>
    </w:tbl>
    <w:p>
      <w:pPr>
        <w:adjustRightInd w:val="0"/>
        <w:snapToGrid w:val="0"/>
        <w:spacing w:line="560" w:lineRule="exact"/>
        <w:ind w:firstLine="560" w:firstLineChars="200"/>
        <w:rPr>
          <w:rFonts w:ascii="Times New Roman" w:hAnsi="Times New Roman" w:eastAsia="仿宋_GB2312"/>
          <w:color w:val="auto"/>
          <w:kern w:val="0"/>
          <w:sz w:val="28"/>
          <w:szCs w:val="28"/>
          <w:highlight w:val="none"/>
        </w:rPr>
      </w:pPr>
      <w:r>
        <w:rPr>
          <w:rFonts w:hint="eastAsia" w:ascii="Times New Roman" w:hAnsi="Times New Roman" w:eastAsia="仿宋_GB2312"/>
          <w:color w:val="auto"/>
          <w:sz w:val="28"/>
          <w:highlight w:val="none"/>
        </w:rPr>
        <w:t>社会志愿服务</w:t>
      </w:r>
      <w:r>
        <w:rPr>
          <w:rFonts w:hint="eastAsia" w:ascii="Times New Roman" w:hAnsi="Times New Roman" w:eastAsia="仿宋_GB2312"/>
          <w:color w:val="auto"/>
          <w:sz w:val="28"/>
          <w:highlight w:val="none"/>
          <w:lang w:val="en-US" w:eastAsia="zh-CN"/>
        </w:rPr>
        <w:t>项目大赛</w:t>
      </w:r>
      <w:r>
        <w:rPr>
          <w:rFonts w:hint="eastAsia" w:ascii="Times New Roman" w:hAnsi="Times New Roman" w:eastAsia="仿宋_GB2312"/>
          <w:color w:val="auto"/>
          <w:sz w:val="28"/>
          <w:highlight w:val="none"/>
        </w:rPr>
        <w:t>包括中国青年志愿服务项目大赛、四川省高校志愿服务</w:t>
      </w:r>
      <w:r>
        <w:rPr>
          <w:rFonts w:hint="eastAsia" w:ascii="Times New Roman" w:hAnsi="Times New Roman" w:eastAsia="仿宋_GB2312"/>
          <w:color w:val="auto"/>
          <w:sz w:val="28"/>
          <w:highlight w:val="none"/>
          <w:lang w:val="en-US" w:eastAsia="zh-CN"/>
        </w:rPr>
        <w:t>项目</w:t>
      </w:r>
      <w:r>
        <w:rPr>
          <w:rFonts w:hint="eastAsia" w:ascii="Times New Roman" w:hAnsi="Times New Roman" w:eastAsia="仿宋_GB2312"/>
          <w:color w:val="auto"/>
          <w:sz w:val="28"/>
          <w:highlight w:val="none"/>
        </w:rPr>
        <w:t>大赛。</w:t>
      </w:r>
      <w:r>
        <w:rPr>
          <w:rFonts w:hint="eastAsia" w:ascii="Times New Roman" w:hAnsi="Times New Roman" w:eastAsia="仿宋_GB2312"/>
          <w:color w:val="auto"/>
          <w:sz w:val="28"/>
          <w:szCs w:val="28"/>
          <w:highlight w:val="none"/>
        </w:rPr>
        <w:t>其他省级</w:t>
      </w:r>
      <w:r>
        <w:rPr>
          <w:rFonts w:hint="eastAsia" w:ascii="Times New Roman" w:hAnsi="Times New Roman" w:eastAsia="仿宋_GB2312"/>
          <w:color w:val="auto"/>
          <w:sz w:val="28"/>
          <w:szCs w:val="28"/>
          <w:highlight w:val="none"/>
          <w:lang w:val="en-US" w:eastAsia="zh-CN"/>
        </w:rPr>
        <w:t>及</w:t>
      </w:r>
      <w:r>
        <w:rPr>
          <w:rFonts w:hint="eastAsia" w:ascii="Times New Roman" w:hAnsi="Times New Roman" w:eastAsia="仿宋_GB2312"/>
          <w:color w:val="auto"/>
          <w:sz w:val="28"/>
          <w:szCs w:val="28"/>
          <w:highlight w:val="none"/>
        </w:rPr>
        <w:t>以上</w:t>
      </w:r>
      <w:r>
        <w:rPr>
          <w:rFonts w:hint="eastAsia" w:ascii="Times New Roman" w:hAnsi="Times New Roman" w:eastAsia="仿宋_GB2312"/>
          <w:color w:val="auto"/>
          <w:sz w:val="28"/>
          <w:szCs w:val="28"/>
          <w:highlight w:val="none"/>
          <w:lang w:val="en-US" w:eastAsia="zh-CN"/>
        </w:rPr>
        <w:t>社会志愿服务项目大赛</w:t>
      </w:r>
      <w:r>
        <w:rPr>
          <w:rFonts w:hint="eastAsia" w:ascii="Times New Roman" w:hAnsi="Times New Roman" w:eastAsia="仿宋_GB2312"/>
          <w:color w:val="auto"/>
          <w:sz w:val="28"/>
          <w:szCs w:val="28"/>
          <w:highlight w:val="none"/>
        </w:rPr>
        <w:t>，其适用性须经学院</w:t>
      </w:r>
      <w:r>
        <w:rPr>
          <w:rFonts w:hint="eastAsia" w:ascii="Times New Roman" w:hAnsi="Times New Roman" w:eastAsia="仿宋_GB2312"/>
          <w:color w:val="auto"/>
          <w:sz w:val="28"/>
          <w:szCs w:val="28"/>
          <w:highlight w:val="none"/>
          <w:lang w:val="en-US" w:eastAsia="zh-CN"/>
        </w:rPr>
        <w:t>工作</w:t>
      </w:r>
      <w:r>
        <w:rPr>
          <w:rFonts w:hint="eastAsia" w:ascii="Times New Roman" w:hAnsi="Times New Roman" w:eastAsia="仿宋_GB2312"/>
          <w:color w:val="auto"/>
          <w:kern w:val="0"/>
          <w:sz w:val="28"/>
          <w:szCs w:val="28"/>
          <w:highlight w:val="none"/>
        </w:rPr>
        <w:t>小组认定方能计分。社会志愿服务</w:t>
      </w:r>
      <w:r>
        <w:rPr>
          <w:rFonts w:hint="eastAsia" w:ascii="Times New Roman" w:hAnsi="Times New Roman" w:eastAsia="仿宋_GB2312"/>
          <w:color w:val="auto"/>
          <w:kern w:val="0"/>
          <w:sz w:val="28"/>
          <w:szCs w:val="28"/>
          <w:highlight w:val="none"/>
          <w:lang w:val="en-US" w:eastAsia="zh-CN"/>
        </w:rPr>
        <w:t>大赛</w:t>
      </w:r>
      <w:r>
        <w:rPr>
          <w:rFonts w:hint="eastAsia" w:ascii="Times New Roman" w:hAnsi="Times New Roman" w:eastAsia="仿宋_GB2312"/>
          <w:color w:val="auto"/>
          <w:kern w:val="0"/>
          <w:sz w:val="28"/>
          <w:szCs w:val="28"/>
          <w:highlight w:val="none"/>
        </w:rPr>
        <w:t>加分规则如下：</w:t>
      </w:r>
    </w:p>
    <w:tbl>
      <w:tblPr>
        <w:tblStyle w:val="26"/>
        <w:tblW w:w="4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221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2" w:type="pct"/>
            <w:vAlign w:val="center"/>
          </w:tcPr>
          <w:p>
            <w:pPr>
              <w:jc w:val="center"/>
              <w:rPr>
                <w:rFonts w:eastAsia="仿宋_GB2312"/>
                <w:color w:val="auto"/>
                <w:kern w:val="0"/>
                <w:sz w:val="20"/>
                <w:highlight w:val="none"/>
              </w:rPr>
            </w:pPr>
          </w:p>
        </w:tc>
        <w:tc>
          <w:tcPr>
            <w:tcW w:w="1536" w:type="pct"/>
            <w:vAlign w:val="center"/>
          </w:tcPr>
          <w:p>
            <w:pPr>
              <w:jc w:val="center"/>
              <w:rPr>
                <w:rFonts w:eastAsia="仿宋_GB2312"/>
                <w:color w:val="auto"/>
                <w:kern w:val="0"/>
                <w:sz w:val="20"/>
                <w:highlight w:val="none"/>
              </w:rPr>
            </w:pPr>
            <w:r>
              <w:rPr>
                <w:rFonts w:hint="eastAsia" w:eastAsia="仿宋_GB2312"/>
                <w:color w:val="auto"/>
                <w:kern w:val="0"/>
                <w:sz w:val="20"/>
                <w:highlight w:val="none"/>
              </w:rPr>
              <w:t>国家级</w:t>
            </w:r>
          </w:p>
        </w:tc>
        <w:tc>
          <w:tcPr>
            <w:tcW w:w="2060" w:type="pct"/>
            <w:vAlign w:val="center"/>
          </w:tcPr>
          <w:p>
            <w:pPr>
              <w:jc w:val="center"/>
              <w:rPr>
                <w:rFonts w:eastAsia="仿宋_GB2312"/>
                <w:color w:val="auto"/>
                <w:kern w:val="0"/>
                <w:sz w:val="20"/>
                <w:highlight w:val="none"/>
              </w:rPr>
            </w:pPr>
            <w:r>
              <w:rPr>
                <w:rFonts w:hint="eastAsia" w:eastAsia="仿宋_GB2312"/>
                <w:color w:val="auto"/>
                <w:kern w:val="0"/>
                <w:sz w:val="20"/>
                <w:highlight w:val="none"/>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2" w:type="pct"/>
            <w:vAlign w:val="center"/>
          </w:tcPr>
          <w:p>
            <w:pPr>
              <w:jc w:val="center"/>
              <w:rPr>
                <w:rFonts w:eastAsia="仿宋_GB2312"/>
                <w:color w:val="auto"/>
                <w:kern w:val="0"/>
                <w:sz w:val="20"/>
                <w:highlight w:val="none"/>
              </w:rPr>
            </w:pPr>
            <w:r>
              <w:rPr>
                <w:rFonts w:hint="eastAsia" w:eastAsia="仿宋_GB2312"/>
                <w:color w:val="auto"/>
                <w:kern w:val="0"/>
                <w:sz w:val="20"/>
                <w:highlight w:val="none"/>
                <w:lang w:val="en-US" w:eastAsia="zh-CN"/>
              </w:rPr>
              <w:t>金奖</w:t>
            </w:r>
          </w:p>
        </w:tc>
        <w:tc>
          <w:tcPr>
            <w:tcW w:w="1536" w:type="pct"/>
            <w:vAlign w:val="center"/>
          </w:tcPr>
          <w:p>
            <w:pPr>
              <w:jc w:val="center"/>
              <w:rPr>
                <w:rFonts w:hint="default" w:eastAsia="仿宋_GB2312"/>
                <w:color w:val="auto"/>
                <w:kern w:val="0"/>
                <w:sz w:val="20"/>
                <w:highlight w:val="none"/>
                <w:lang w:val="en-US" w:eastAsia="zh-CN"/>
              </w:rPr>
            </w:pPr>
            <w:r>
              <w:rPr>
                <w:rFonts w:hint="eastAsia" w:eastAsia="仿宋_GB2312"/>
                <w:color w:val="auto"/>
                <w:kern w:val="0"/>
                <w:sz w:val="20"/>
                <w:highlight w:val="none"/>
                <w:lang w:val="en-US" w:eastAsia="zh-CN"/>
              </w:rPr>
              <w:t>10</w:t>
            </w:r>
          </w:p>
        </w:tc>
        <w:tc>
          <w:tcPr>
            <w:tcW w:w="2060" w:type="pct"/>
            <w:vAlign w:val="center"/>
          </w:tcPr>
          <w:p>
            <w:pPr>
              <w:jc w:val="center"/>
              <w:rPr>
                <w:rFonts w:hint="eastAsia" w:eastAsia="仿宋_GB2312"/>
                <w:color w:val="auto"/>
                <w:kern w:val="0"/>
                <w:sz w:val="20"/>
                <w:highlight w:val="none"/>
                <w:lang w:val="en-US" w:eastAsia="zh-CN"/>
              </w:rPr>
            </w:pPr>
            <w:r>
              <w:rPr>
                <w:rFonts w:hint="eastAsia" w:eastAsia="仿宋_GB2312"/>
                <w:color w:val="auto"/>
                <w:kern w:val="0"/>
                <w:sz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2" w:type="pct"/>
            <w:vAlign w:val="center"/>
          </w:tcPr>
          <w:p>
            <w:pPr>
              <w:jc w:val="center"/>
              <w:rPr>
                <w:rFonts w:eastAsia="仿宋_GB2312"/>
                <w:color w:val="auto"/>
                <w:kern w:val="0"/>
                <w:sz w:val="20"/>
                <w:highlight w:val="none"/>
              </w:rPr>
            </w:pPr>
            <w:r>
              <w:rPr>
                <w:rFonts w:hint="eastAsia" w:eastAsia="仿宋_GB2312"/>
                <w:color w:val="auto"/>
                <w:kern w:val="0"/>
                <w:sz w:val="20"/>
                <w:highlight w:val="none"/>
                <w:lang w:val="en-US" w:eastAsia="zh-CN"/>
              </w:rPr>
              <w:t>银奖</w:t>
            </w:r>
          </w:p>
        </w:tc>
        <w:tc>
          <w:tcPr>
            <w:tcW w:w="1536" w:type="pct"/>
            <w:vAlign w:val="center"/>
          </w:tcPr>
          <w:p>
            <w:pPr>
              <w:jc w:val="center"/>
              <w:rPr>
                <w:rFonts w:hint="eastAsia" w:eastAsia="仿宋_GB2312"/>
                <w:color w:val="auto"/>
                <w:kern w:val="0"/>
                <w:sz w:val="20"/>
                <w:highlight w:val="none"/>
                <w:lang w:val="en-US" w:eastAsia="zh-CN"/>
              </w:rPr>
            </w:pPr>
            <w:r>
              <w:rPr>
                <w:rFonts w:hint="eastAsia" w:eastAsia="仿宋_GB2312"/>
                <w:color w:val="auto"/>
                <w:kern w:val="0"/>
                <w:sz w:val="20"/>
                <w:highlight w:val="none"/>
                <w:lang w:val="en-US" w:eastAsia="zh-CN"/>
              </w:rPr>
              <w:t>8</w:t>
            </w:r>
          </w:p>
        </w:tc>
        <w:tc>
          <w:tcPr>
            <w:tcW w:w="2060" w:type="pct"/>
            <w:vAlign w:val="center"/>
          </w:tcPr>
          <w:p>
            <w:pPr>
              <w:jc w:val="center"/>
              <w:rPr>
                <w:rFonts w:hint="eastAsia" w:eastAsia="仿宋_GB2312"/>
                <w:color w:val="auto"/>
                <w:kern w:val="0"/>
                <w:sz w:val="20"/>
                <w:highlight w:val="none"/>
                <w:lang w:val="en-US" w:eastAsia="zh-CN"/>
              </w:rPr>
            </w:pPr>
            <w:r>
              <w:rPr>
                <w:rFonts w:hint="eastAsia" w:eastAsia="仿宋_GB2312"/>
                <w:color w:val="auto"/>
                <w:kern w:val="0"/>
                <w:sz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02" w:type="pct"/>
            <w:vAlign w:val="center"/>
          </w:tcPr>
          <w:p>
            <w:pPr>
              <w:jc w:val="center"/>
              <w:rPr>
                <w:rFonts w:hint="eastAsia" w:eastAsia="仿宋_GB2312"/>
                <w:color w:val="auto"/>
                <w:kern w:val="0"/>
                <w:sz w:val="20"/>
                <w:highlight w:val="none"/>
                <w:lang w:val="en-US" w:eastAsia="zh-CN"/>
              </w:rPr>
            </w:pPr>
            <w:r>
              <w:rPr>
                <w:rFonts w:hint="eastAsia" w:eastAsia="仿宋_GB2312"/>
                <w:color w:val="auto"/>
                <w:kern w:val="0"/>
                <w:sz w:val="20"/>
                <w:highlight w:val="none"/>
                <w:lang w:val="en-US" w:eastAsia="zh-CN"/>
              </w:rPr>
              <w:t>铜奖</w:t>
            </w:r>
          </w:p>
        </w:tc>
        <w:tc>
          <w:tcPr>
            <w:tcW w:w="1536" w:type="pct"/>
            <w:vAlign w:val="center"/>
          </w:tcPr>
          <w:p>
            <w:pPr>
              <w:jc w:val="center"/>
              <w:rPr>
                <w:rFonts w:hint="default" w:eastAsia="仿宋_GB2312"/>
                <w:color w:val="auto"/>
                <w:kern w:val="0"/>
                <w:sz w:val="20"/>
                <w:highlight w:val="none"/>
                <w:lang w:val="en-US" w:eastAsia="zh-CN"/>
              </w:rPr>
            </w:pPr>
            <w:r>
              <w:rPr>
                <w:rFonts w:hint="eastAsia" w:eastAsia="仿宋_GB2312"/>
                <w:color w:val="auto"/>
                <w:kern w:val="0"/>
                <w:sz w:val="20"/>
                <w:highlight w:val="none"/>
                <w:lang w:val="en-US" w:eastAsia="zh-CN"/>
              </w:rPr>
              <w:t>6</w:t>
            </w:r>
          </w:p>
        </w:tc>
        <w:tc>
          <w:tcPr>
            <w:tcW w:w="2060" w:type="pct"/>
            <w:vAlign w:val="center"/>
          </w:tcPr>
          <w:p>
            <w:pPr>
              <w:jc w:val="center"/>
              <w:rPr>
                <w:rFonts w:hint="default" w:eastAsia="仿宋_GB2312"/>
                <w:color w:val="auto"/>
                <w:kern w:val="0"/>
                <w:sz w:val="20"/>
                <w:highlight w:val="none"/>
                <w:lang w:val="en-US" w:eastAsia="zh-CN"/>
              </w:rPr>
            </w:pPr>
            <w:r>
              <w:rPr>
                <w:rFonts w:hint="eastAsia" w:eastAsia="仿宋_GB2312"/>
                <w:color w:val="auto"/>
                <w:kern w:val="0"/>
                <w:sz w:val="20"/>
                <w:highlight w:val="none"/>
                <w:lang w:val="en-US" w:eastAsia="zh-CN"/>
              </w:rPr>
              <w:t>2</w:t>
            </w:r>
          </w:p>
        </w:tc>
      </w:tr>
    </w:tbl>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社会实践类加分说明：</w:t>
      </w:r>
    </w:p>
    <w:p>
      <w:pPr>
        <w:ind w:firstLine="480" w:firstLineChars="200"/>
        <w:rPr>
          <w:rFonts w:hint="eastAsia" w:ascii="仿宋" w:hAnsi="仿宋" w:eastAsia="仿宋" w:cs="仿宋"/>
          <w:bCs/>
          <w:color w:val="auto"/>
          <w:kern w:val="0"/>
          <w:sz w:val="24"/>
          <w:szCs w:val="22"/>
        </w:rPr>
      </w:pPr>
      <w:r>
        <w:rPr>
          <w:rFonts w:hint="eastAsia" w:ascii="仿宋" w:hAnsi="仿宋" w:eastAsia="仿宋" w:cs="仿宋"/>
          <w:bCs/>
          <w:color w:val="auto"/>
          <w:kern w:val="0"/>
          <w:sz w:val="24"/>
          <w:szCs w:val="22"/>
        </w:rPr>
        <w:t>①国际组织实习与拔尖项目国际组织实习不作重复加分</w:t>
      </w:r>
      <w:r>
        <w:rPr>
          <w:rFonts w:hint="eastAsia" w:ascii="仿宋" w:hAnsi="仿宋" w:eastAsia="仿宋" w:cs="仿宋"/>
          <w:bCs/>
          <w:color w:val="auto"/>
          <w:kern w:val="0"/>
          <w:sz w:val="24"/>
          <w:szCs w:val="22"/>
          <w:lang w:eastAsia="zh-CN"/>
        </w:rPr>
        <w:t>，国际性会议</w:t>
      </w:r>
      <w:r>
        <w:rPr>
          <w:rFonts w:hint="eastAsia" w:ascii="仿宋" w:hAnsi="仿宋" w:eastAsia="仿宋" w:cs="仿宋"/>
          <w:bCs/>
          <w:color w:val="auto"/>
          <w:kern w:val="0"/>
          <w:sz w:val="24"/>
          <w:szCs w:val="22"/>
        </w:rPr>
        <w:t>志愿者活动与“获得各类荣誉称号”所列优秀志愿者荣誉称号不作重复加分，且只能申请1项加分，按最高级别计。</w:t>
      </w:r>
    </w:p>
    <w:p>
      <w:pPr>
        <w:ind w:firstLine="480" w:firstLineChars="200"/>
        <w:rPr>
          <w:rFonts w:hint="eastAsia" w:ascii="仿宋" w:hAnsi="仿宋" w:eastAsia="仿宋" w:cs="仿宋"/>
          <w:bCs/>
          <w:color w:val="auto"/>
          <w:kern w:val="0"/>
          <w:sz w:val="24"/>
          <w:szCs w:val="22"/>
        </w:rPr>
      </w:pPr>
      <w:r>
        <w:rPr>
          <w:rFonts w:hint="eastAsia" w:ascii="仿宋" w:hAnsi="仿宋" w:eastAsia="仿宋" w:cs="仿宋"/>
          <w:bCs/>
          <w:color w:val="auto"/>
          <w:kern w:val="0"/>
          <w:sz w:val="24"/>
          <w:szCs w:val="22"/>
        </w:rPr>
        <w:t>②社会实践类合作者</w:t>
      </w:r>
      <w:r>
        <w:rPr>
          <w:rFonts w:hint="eastAsia" w:ascii="仿宋" w:hAnsi="仿宋" w:eastAsia="仿宋" w:cs="仿宋"/>
          <w:bCs/>
          <w:color w:val="auto"/>
          <w:kern w:val="0"/>
          <w:sz w:val="24"/>
          <w:szCs w:val="22"/>
          <w:lang w:val="en-US" w:eastAsia="zh-CN"/>
        </w:rPr>
        <w:t>成果认定：负责人计1项，</w:t>
      </w:r>
      <w:r>
        <w:rPr>
          <w:rFonts w:hint="eastAsia" w:ascii="仿宋" w:hAnsi="仿宋" w:eastAsia="仿宋" w:cs="仿宋"/>
          <w:bCs/>
          <w:color w:val="auto"/>
          <w:kern w:val="0"/>
          <w:sz w:val="24"/>
          <w:szCs w:val="22"/>
        </w:rPr>
        <w:t>第一参与人认定为0.5项，第二参与人认定为0.3项，第三参与人认定为0.2项，第四及以后者认定为0.1项。</w:t>
      </w:r>
    </w:p>
    <w:p>
      <w:pPr>
        <w:ind w:firstLine="480" w:firstLineChars="200"/>
        <w:rPr>
          <w:rFonts w:hint="eastAsia" w:ascii="仿宋" w:hAnsi="仿宋" w:eastAsia="仿宋" w:cs="仿宋"/>
          <w:bCs/>
          <w:color w:val="auto"/>
          <w:kern w:val="0"/>
          <w:sz w:val="24"/>
          <w:szCs w:val="22"/>
        </w:rPr>
      </w:pPr>
      <w:r>
        <w:rPr>
          <w:rFonts w:hint="eastAsia" w:ascii="仿宋" w:hAnsi="仿宋" w:eastAsia="仿宋" w:cs="仿宋"/>
          <w:bCs/>
          <w:color w:val="auto"/>
          <w:kern w:val="0"/>
          <w:sz w:val="24"/>
          <w:szCs w:val="22"/>
        </w:rPr>
        <w:t>③社会实践类</w:t>
      </w:r>
      <w:r>
        <w:rPr>
          <w:rFonts w:hint="eastAsia" w:ascii="仿宋" w:hAnsi="仿宋" w:eastAsia="仿宋" w:cs="仿宋"/>
          <w:bCs/>
          <w:color w:val="auto"/>
          <w:kern w:val="0"/>
          <w:sz w:val="24"/>
          <w:szCs w:val="22"/>
          <w:lang w:val="en-US" w:eastAsia="zh-CN"/>
        </w:rPr>
        <w:t>成果</w:t>
      </w:r>
      <w:r>
        <w:rPr>
          <w:rFonts w:hint="eastAsia" w:ascii="仿宋" w:hAnsi="仿宋" w:eastAsia="仿宋" w:cs="仿宋"/>
          <w:bCs/>
          <w:color w:val="auto"/>
          <w:kern w:val="0"/>
          <w:sz w:val="24"/>
          <w:szCs w:val="22"/>
        </w:rPr>
        <w:t>第一署名单位须为“西南财经大学”或“西南财经大学公共管理学院”。</w:t>
      </w:r>
    </w:p>
    <w:p>
      <w:pPr>
        <w:ind w:firstLine="480" w:firstLineChars="200"/>
        <w:rPr>
          <w:rFonts w:hint="eastAsia" w:ascii="仿宋" w:hAnsi="仿宋" w:eastAsia="仿宋" w:cs="仿宋"/>
          <w:bCs/>
          <w:color w:val="auto"/>
          <w:kern w:val="0"/>
          <w:sz w:val="24"/>
          <w:szCs w:val="22"/>
        </w:rPr>
      </w:pPr>
      <w:r>
        <w:rPr>
          <w:rFonts w:hint="default" w:ascii="仿宋" w:hAnsi="仿宋" w:eastAsia="仿宋" w:cs="仿宋"/>
          <w:bCs/>
          <w:color w:val="auto"/>
          <w:kern w:val="0"/>
          <w:sz w:val="24"/>
          <w:szCs w:val="22"/>
        </w:rPr>
        <w:t>④</w:t>
      </w:r>
      <w:r>
        <w:rPr>
          <w:rFonts w:hint="eastAsia" w:ascii="仿宋" w:hAnsi="仿宋" w:eastAsia="仿宋" w:cs="仿宋"/>
          <w:bCs/>
          <w:color w:val="auto"/>
          <w:kern w:val="0"/>
          <w:sz w:val="24"/>
          <w:szCs w:val="22"/>
        </w:rPr>
        <w:t>社会实践类成果截止日期为学院报名时间截止日。</w:t>
      </w:r>
    </w:p>
    <w:p>
      <w:pPr>
        <w:ind w:firstLine="480" w:firstLineChars="200"/>
        <w:rPr>
          <w:rFonts w:hint="eastAsia" w:ascii="仿宋" w:hAnsi="仿宋" w:eastAsia="仿宋" w:cs="仿宋"/>
          <w:bCs/>
          <w:color w:val="auto"/>
          <w:kern w:val="0"/>
          <w:sz w:val="24"/>
          <w:szCs w:val="22"/>
        </w:rPr>
      </w:pPr>
      <w:r>
        <w:rPr>
          <w:rFonts w:hint="eastAsia" w:ascii="仿宋" w:hAnsi="仿宋" w:eastAsia="仿宋" w:cs="仿宋"/>
          <w:bCs/>
          <w:color w:val="auto"/>
          <w:kern w:val="0"/>
          <w:sz w:val="24"/>
          <w:szCs w:val="22"/>
        </w:rPr>
        <w:t>⑤社会实践类设置社会实践</w:t>
      </w:r>
      <w:r>
        <w:rPr>
          <w:rFonts w:hint="eastAsia" w:ascii="仿宋" w:hAnsi="仿宋" w:eastAsia="仿宋" w:cs="仿宋"/>
          <w:bCs/>
          <w:color w:val="auto"/>
          <w:kern w:val="0"/>
          <w:sz w:val="24"/>
          <w:szCs w:val="22"/>
          <w:lang w:val="en-US" w:eastAsia="zh-CN"/>
        </w:rPr>
        <w:t>类称号</w:t>
      </w:r>
      <w:r>
        <w:rPr>
          <w:rFonts w:hint="eastAsia" w:ascii="仿宋" w:hAnsi="仿宋" w:eastAsia="仿宋" w:cs="仿宋"/>
          <w:bCs/>
          <w:color w:val="auto"/>
          <w:kern w:val="0"/>
          <w:sz w:val="24"/>
          <w:szCs w:val="22"/>
        </w:rPr>
        <w:t>、国际组织实习与实践</w:t>
      </w:r>
      <w:r>
        <w:rPr>
          <w:rFonts w:hint="eastAsia" w:ascii="仿宋" w:hAnsi="仿宋" w:eastAsia="仿宋" w:cs="仿宋"/>
          <w:bCs/>
          <w:color w:val="auto"/>
          <w:kern w:val="0"/>
          <w:sz w:val="24"/>
          <w:szCs w:val="22"/>
          <w:lang w:eastAsia="zh-CN"/>
        </w:rPr>
        <w:t>、</w:t>
      </w:r>
      <w:r>
        <w:rPr>
          <w:rFonts w:hint="eastAsia" w:ascii="仿宋" w:hAnsi="仿宋" w:eastAsia="仿宋" w:cs="仿宋"/>
          <w:bCs/>
          <w:color w:val="auto"/>
          <w:kern w:val="0"/>
          <w:sz w:val="24"/>
          <w:szCs w:val="22"/>
          <w:lang w:val="en-US" w:eastAsia="zh-CN"/>
        </w:rPr>
        <w:t>参加国际组织会议、社会志愿服务项目大赛</w:t>
      </w:r>
      <w:r>
        <w:rPr>
          <w:rFonts w:hint="eastAsia" w:ascii="仿宋" w:hAnsi="仿宋" w:eastAsia="仿宋" w:cs="仿宋"/>
          <w:bCs/>
          <w:color w:val="auto"/>
          <w:kern w:val="0"/>
          <w:sz w:val="24"/>
          <w:szCs w:val="22"/>
        </w:rPr>
        <w:t>方面，学生在不同方面获得奖项可以累积加分，在同一方面中有多项加分情况时，只取最高一项。</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6</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荣誉类</w:t>
      </w:r>
    </w:p>
    <w:p>
      <w:pPr>
        <w:spacing w:line="560" w:lineRule="exact"/>
        <w:ind w:firstLine="560" w:firstLineChars="200"/>
        <w:rPr>
          <w:rFonts w:ascii="Times New Roman" w:hAnsi="Times New Roman" w:eastAsia="仿宋_GB2312"/>
          <w:bCs/>
          <w:color w:val="auto"/>
          <w:kern w:val="0"/>
          <w:sz w:val="28"/>
          <w:szCs w:val="28"/>
        </w:rPr>
      </w:pPr>
      <w:r>
        <w:rPr>
          <w:rFonts w:hint="eastAsia" w:ascii="Times New Roman" w:hAnsi="Times New Roman" w:eastAsia="仿宋_GB2312"/>
          <w:color w:val="auto"/>
          <w:sz w:val="28"/>
          <w:szCs w:val="28"/>
        </w:rPr>
        <w:t>荣誉类特指个人或团体由于优异表现所获得的，在本办法前述范围之外的奖励和评价。包括三好学生、优秀学生干部、</w:t>
      </w:r>
      <w:r>
        <w:rPr>
          <w:rFonts w:hint="eastAsia" w:ascii="Times New Roman" w:hAnsi="Times New Roman" w:eastAsia="仿宋_GB2312"/>
          <w:color w:val="auto"/>
          <w:sz w:val="28"/>
          <w:szCs w:val="28"/>
          <w:lang w:val="en-US" w:eastAsia="zh-CN"/>
        </w:rPr>
        <w:t>优秀共产党员、优秀党务工作者、</w:t>
      </w:r>
      <w:r>
        <w:rPr>
          <w:rFonts w:hint="eastAsia" w:ascii="Times New Roman" w:hAnsi="Times New Roman" w:eastAsia="仿宋_GB2312"/>
          <w:color w:val="auto"/>
          <w:sz w:val="28"/>
          <w:szCs w:val="28"/>
        </w:rPr>
        <w:t>优秀共青团员、优秀团干部及其标兵称号</w:t>
      </w: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rPr>
        <w:t>不包括奖学金类、助学金类。其他</w:t>
      </w:r>
      <w:r>
        <w:rPr>
          <w:rFonts w:hint="eastAsia" w:ascii="Times New Roman" w:hAnsi="Times New Roman" w:eastAsia="仿宋_GB2312"/>
          <w:color w:val="auto"/>
          <w:sz w:val="28"/>
          <w:szCs w:val="28"/>
          <w:lang w:val="en-US" w:eastAsia="zh-CN"/>
        </w:rPr>
        <w:t>省级</w:t>
      </w:r>
      <w:r>
        <w:rPr>
          <w:rFonts w:hint="eastAsia" w:ascii="Times New Roman" w:hAnsi="Times New Roman" w:eastAsia="仿宋_GB2312"/>
          <w:color w:val="auto"/>
          <w:sz w:val="28"/>
          <w:szCs w:val="28"/>
        </w:rPr>
        <w:t>及以上荣誉</w:t>
      </w:r>
      <w:r>
        <w:rPr>
          <w:rFonts w:hint="eastAsia" w:ascii="Times New Roman" w:hAnsi="Times New Roman" w:eastAsia="仿宋_GB2312"/>
          <w:color w:val="auto"/>
          <w:sz w:val="28"/>
          <w:szCs w:val="28"/>
          <w:lang w:val="en-US" w:eastAsia="zh-CN"/>
        </w:rPr>
        <w:t>类</w:t>
      </w:r>
      <w:r>
        <w:rPr>
          <w:rFonts w:hint="eastAsia" w:ascii="Times New Roman" w:hAnsi="Times New Roman" w:eastAsia="仿宋_GB2312"/>
          <w:color w:val="auto"/>
          <w:sz w:val="28"/>
          <w:szCs w:val="28"/>
        </w:rPr>
        <w:t>称号，其适用性须经</w:t>
      </w:r>
      <w:r>
        <w:rPr>
          <w:rFonts w:hint="eastAsia" w:ascii="Times New Roman" w:hAnsi="Times New Roman" w:eastAsia="仿宋_GB2312"/>
          <w:color w:val="auto"/>
          <w:kern w:val="0"/>
          <w:sz w:val="28"/>
          <w:szCs w:val="28"/>
        </w:rPr>
        <w:t>学院工作小组</w:t>
      </w:r>
      <w:r>
        <w:rPr>
          <w:rFonts w:hint="eastAsia" w:ascii="Times New Roman" w:hAnsi="Times New Roman" w:eastAsia="仿宋_GB2312"/>
          <w:color w:val="auto"/>
          <w:sz w:val="28"/>
          <w:szCs w:val="28"/>
        </w:rPr>
        <w:t>认定方能计分。</w:t>
      </w:r>
      <w:r>
        <w:rPr>
          <w:rFonts w:ascii="Times New Roman" w:hAnsi="Times New Roman" w:eastAsia="仿宋_GB2312"/>
          <w:bCs/>
          <w:color w:val="auto"/>
          <w:kern w:val="0"/>
          <w:sz w:val="28"/>
          <w:szCs w:val="28"/>
        </w:rPr>
        <w:t>每项计：</w:t>
      </w:r>
    </w:p>
    <w:tbl>
      <w:tblPr>
        <w:tblStyle w:val="13"/>
        <w:tblW w:w="4335" w:type="pct"/>
        <w:jc w:val="center"/>
        <w:tblLayout w:type="fixed"/>
        <w:tblCellMar>
          <w:top w:w="15" w:type="dxa"/>
          <w:left w:w="15" w:type="dxa"/>
          <w:bottom w:w="15" w:type="dxa"/>
          <w:right w:w="15" w:type="dxa"/>
        </w:tblCellMar>
      </w:tblPr>
      <w:tblGrid>
        <w:gridCol w:w="1974"/>
        <w:gridCol w:w="1747"/>
        <w:gridCol w:w="2134"/>
        <w:gridCol w:w="1453"/>
      </w:tblGrid>
      <w:tr>
        <w:tblPrEx>
          <w:tblCellMar>
            <w:top w:w="15" w:type="dxa"/>
            <w:left w:w="15" w:type="dxa"/>
            <w:bottom w:w="15" w:type="dxa"/>
            <w:right w:w="15" w:type="dxa"/>
          </w:tblCellMar>
        </w:tblPrEx>
        <w:trPr>
          <w:trHeight w:val="20" w:hRule="atLeast"/>
          <w:jc w:val="center"/>
        </w:trPr>
        <w:tc>
          <w:tcPr>
            <w:tcW w:w="13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国家级</w:t>
            </w:r>
          </w:p>
        </w:tc>
        <w:tc>
          <w:tcPr>
            <w:tcW w:w="1195" w:type="pct"/>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省级</w:t>
            </w:r>
          </w:p>
        </w:tc>
        <w:tc>
          <w:tcPr>
            <w:tcW w:w="1460" w:type="pct"/>
            <w:tcBorders>
              <w:top w:val="single" w:color="000000" w:sz="4" w:space="0"/>
              <w:left w:val="nil"/>
              <w:bottom w:val="single" w:color="000000" w:sz="4" w:space="0"/>
              <w:right w:val="single" w:color="000000" w:sz="4" w:space="0"/>
            </w:tcBorders>
            <w:vAlign w:val="center"/>
          </w:tcPr>
          <w:p>
            <w:pPr>
              <w:jc w:val="center"/>
              <w:rPr>
                <w:rFonts w:eastAsia="仿宋_GB2312"/>
                <w:color w:val="auto"/>
                <w:kern w:val="0"/>
                <w:sz w:val="20"/>
              </w:rPr>
            </w:pPr>
            <w:r>
              <w:rPr>
                <w:rFonts w:hint="eastAsia" w:eastAsia="仿宋_GB2312"/>
                <w:color w:val="auto"/>
                <w:kern w:val="0"/>
                <w:sz w:val="20"/>
              </w:rPr>
              <w:t>副省级</w:t>
            </w:r>
          </w:p>
        </w:tc>
        <w:tc>
          <w:tcPr>
            <w:tcW w:w="994" w:type="pct"/>
            <w:tcBorders>
              <w:top w:val="single" w:color="000000" w:sz="4" w:space="0"/>
              <w:left w:val="nil"/>
              <w:bottom w:val="single" w:color="000000" w:sz="4" w:space="0"/>
              <w:right w:val="single" w:color="000000" w:sz="4" w:space="0"/>
            </w:tcBorders>
            <w:vAlign w:val="center"/>
          </w:tcPr>
          <w:p>
            <w:pPr>
              <w:jc w:val="center"/>
              <w:rPr>
                <w:rFonts w:eastAsia="仿宋_GB2312"/>
                <w:color w:val="auto"/>
                <w:kern w:val="0"/>
                <w:sz w:val="20"/>
              </w:rPr>
            </w:pPr>
            <w:r>
              <w:rPr>
                <w:rFonts w:hint="eastAsia" w:eastAsia="仿宋_GB2312"/>
                <w:color w:val="auto"/>
                <w:kern w:val="0"/>
                <w:sz w:val="20"/>
              </w:rPr>
              <w:t>校级</w:t>
            </w:r>
          </w:p>
        </w:tc>
      </w:tr>
      <w:tr>
        <w:tblPrEx>
          <w:tblCellMar>
            <w:top w:w="15" w:type="dxa"/>
            <w:left w:w="15" w:type="dxa"/>
            <w:bottom w:w="15" w:type="dxa"/>
            <w:right w:w="15" w:type="dxa"/>
          </w:tblCellMar>
        </w:tblPrEx>
        <w:trPr>
          <w:trHeight w:val="20" w:hRule="atLeast"/>
          <w:jc w:val="center"/>
        </w:trPr>
        <w:tc>
          <w:tcPr>
            <w:tcW w:w="1350" w:type="pc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50分</w:t>
            </w:r>
          </w:p>
        </w:tc>
        <w:tc>
          <w:tcPr>
            <w:tcW w:w="1195" w:type="pct"/>
            <w:tcBorders>
              <w:top w:val="nil"/>
              <w:left w:val="nil"/>
              <w:bottom w:val="single" w:color="000000" w:sz="4" w:space="0"/>
              <w:right w:val="single" w:color="000000" w:sz="4" w:space="0"/>
            </w:tcBorders>
            <w:tcMar>
              <w:top w:w="0" w:type="dxa"/>
              <w:left w:w="108" w:type="dxa"/>
              <w:bottom w:w="0" w:type="dxa"/>
              <w:right w:w="108" w:type="dxa"/>
            </w:tcMar>
            <w:vAlign w:val="center"/>
          </w:tcPr>
          <w:p>
            <w:pPr>
              <w:jc w:val="center"/>
              <w:rPr>
                <w:rFonts w:eastAsia="仿宋_GB2312"/>
                <w:color w:val="auto"/>
                <w:kern w:val="0"/>
                <w:sz w:val="20"/>
              </w:rPr>
            </w:pPr>
            <w:r>
              <w:rPr>
                <w:rFonts w:hint="eastAsia" w:eastAsia="仿宋_GB2312"/>
                <w:color w:val="auto"/>
                <w:kern w:val="0"/>
                <w:sz w:val="20"/>
              </w:rPr>
              <w:t>25分</w:t>
            </w:r>
          </w:p>
        </w:tc>
        <w:tc>
          <w:tcPr>
            <w:tcW w:w="1460" w:type="pct"/>
            <w:tcBorders>
              <w:top w:val="nil"/>
              <w:left w:val="nil"/>
              <w:bottom w:val="single" w:color="000000" w:sz="4" w:space="0"/>
              <w:right w:val="single" w:color="000000" w:sz="4" w:space="0"/>
            </w:tcBorders>
            <w:vAlign w:val="center"/>
          </w:tcPr>
          <w:p>
            <w:pPr>
              <w:jc w:val="center"/>
              <w:rPr>
                <w:rFonts w:eastAsia="仿宋_GB2312"/>
                <w:color w:val="auto"/>
                <w:kern w:val="0"/>
                <w:sz w:val="20"/>
              </w:rPr>
            </w:pPr>
            <w:r>
              <w:rPr>
                <w:rFonts w:hint="eastAsia" w:eastAsia="仿宋_GB2312"/>
                <w:color w:val="auto"/>
                <w:kern w:val="0"/>
                <w:sz w:val="20"/>
              </w:rPr>
              <w:t>10分</w:t>
            </w:r>
          </w:p>
        </w:tc>
        <w:tc>
          <w:tcPr>
            <w:tcW w:w="994" w:type="pct"/>
            <w:tcBorders>
              <w:top w:val="nil"/>
              <w:left w:val="nil"/>
              <w:bottom w:val="single" w:color="000000" w:sz="4" w:space="0"/>
              <w:right w:val="single" w:color="000000" w:sz="4" w:space="0"/>
            </w:tcBorders>
            <w:vAlign w:val="center"/>
          </w:tcPr>
          <w:p>
            <w:pPr>
              <w:jc w:val="center"/>
              <w:rPr>
                <w:rFonts w:eastAsia="仿宋_GB2312"/>
                <w:color w:val="auto"/>
                <w:kern w:val="0"/>
                <w:sz w:val="20"/>
              </w:rPr>
            </w:pPr>
            <w:r>
              <w:rPr>
                <w:rFonts w:hint="eastAsia" w:eastAsia="仿宋_GB2312"/>
                <w:color w:val="auto"/>
                <w:kern w:val="0"/>
                <w:sz w:val="20"/>
              </w:rPr>
              <w:t>1</w:t>
            </w:r>
          </w:p>
        </w:tc>
      </w:tr>
    </w:tbl>
    <w:p>
      <w:pPr>
        <w:spacing w:line="560" w:lineRule="exact"/>
        <w:ind w:firstLine="560" w:firstLineChars="200"/>
        <w:rPr>
          <w:rFonts w:ascii="Times New Roman" w:hAnsi="Times New Roman" w:eastAsia="仿宋_GB2312"/>
          <w:color w:val="auto"/>
          <w:sz w:val="28"/>
        </w:rPr>
      </w:pPr>
      <w:bookmarkStart w:id="7" w:name="_Hlk91665198"/>
      <w:r>
        <w:rPr>
          <w:rFonts w:hint="eastAsia" w:ascii="Times New Roman" w:hAnsi="Times New Roman" w:eastAsia="仿宋_GB2312"/>
          <w:color w:val="auto"/>
          <w:sz w:val="28"/>
        </w:rPr>
        <w:t>荣誉类加分说明：荣誉类每个</w:t>
      </w:r>
      <w:r>
        <w:rPr>
          <w:rFonts w:ascii="Times New Roman" w:hAnsi="Times New Roman" w:eastAsia="仿宋_GB2312"/>
          <w:color w:val="auto"/>
          <w:sz w:val="28"/>
        </w:rPr>
        <w:t>称号</w:t>
      </w:r>
      <w:r>
        <w:rPr>
          <w:rFonts w:hint="eastAsia" w:ascii="Times New Roman" w:hAnsi="Times New Roman" w:eastAsia="仿宋_GB2312"/>
          <w:color w:val="auto"/>
          <w:sz w:val="28"/>
        </w:rPr>
        <w:t>为</w:t>
      </w:r>
      <w:r>
        <w:rPr>
          <w:rFonts w:ascii="Times New Roman" w:hAnsi="Times New Roman" w:eastAsia="仿宋_GB2312"/>
          <w:color w:val="auto"/>
          <w:sz w:val="28"/>
        </w:rPr>
        <w:t>一</w:t>
      </w:r>
      <w:r>
        <w:rPr>
          <w:rFonts w:hint="eastAsia" w:ascii="Times New Roman" w:hAnsi="Times New Roman" w:eastAsia="仿宋_GB2312"/>
          <w:color w:val="auto"/>
          <w:sz w:val="28"/>
        </w:rPr>
        <w:t>个方面，学生在不同方面获得奖项可以累积加分，在同一方面中有多项加分情况时，只取最高一项。</w:t>
      </w:r>
    </w:p>
    <w:bookmarkEnd w:id="7"/>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7</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美育类</w:t>
      </w:r>
    </w:p>
    <w:p>
      <w:pPr>
        <w:spacing w:line="560" w:lineRule="exact"/>
        <w:ind w:firstLine="560" w:firstLineChars="200"/>
        <w:rPr>
          <w:rFonts w:ascii="Times New Roman" w:hAnsi="Times New Roman" w:eastAsia="仿宋_GB2312"/>
          <w:color w:val="auto"/>
          <w:kern w:val="0"/>
          <w:sz w:val="28"/>
          <w:szCs w:val="28"/>
        </w:rPr>
      </w:pPr>
      <w:r>
        <w:rPr>
          <w:rFonts w:hint="eastAsia" w:ascii="Times New Roman" w:hAnsi="Times New Roman" w:eastAsia="仿宋_GB2312"/>
          <w:color w:val="auto"/>
          <w:sz w:val="28"/>
          <w:szCs w:val="28"/>
        </w:rPr>
        <w:t>美育类包含在全国大学生艺术展演和教育部、文化部举办的全国性艺术比赛。其他省级</w:t>
      </w:r>
      <w:r>
        <w:rPr>
          <w:rFonts w:hint="eastAsia" w:ascii="Times New Roman" w:hAnsi="Times New Roman" w:eastAsia="仿宋_GB2312"/>
          <w:color w:val="auto"/>
          <w:sz w:val="28"/>
          <w:szCs w:val="28"/>
          <w:lang w:val="en-US" w:eastAsia="zh-CN"/>
        </w:rPr>
        <w:t>及</w:t>
      </w:r>
      <w:r>
        <w:rPr>
          <w:rFonts w:hint="eastAsia" w:ascii="Times New Roman" w:hAnsi="Times New Roman" w:eastAsia="仿宋_GB2312"/>
          <w:color w:val="auto"/>
          <w:sz w:val="28"/>
          <w:szCs w:val="28"/>
        </w:rPr>
        <w:t>以上</w:t>
      </w:r>
      <w:r>
        <w:rPr>
          <w:rFonts w:hint="eastAsia" w:ascii="Times New Roman" w:hAnsi="Times New Roman" w:eastAsia="仿宋_GB2312"/>
          <w:color w:val="auto"/>
          <w:sz w:val="28"/>
          <w:szCs w:val="28"/>
          <w:lang w:val="en-US" w:eastAsia="zh-CN"/>
        </w:rPr>
        <w:t>美育类成果</w:t>
      </w:r>
      <w:r>
        <w:rPr>
          <w:rFonts w:hint="eastAsia" w:ascii="Times New Roman" w:hAnsi="Times New Roman" w:eastAsia="仿宋_GB2312"/>
          <w:color w:val="auto"/>
          <w:sz w:val="28"/>
          <w:szCs w:val="28"/>
        </w:rPr>
        <w:t>，其适用性须经</w:t>
      </w:r>
      <w:r>
        <w:rPr>
          <w:rFonts w:hint="eastAsia" w:ascii="Times New Roman" w:hAnsi="Times New Roman" w:eastAsia="仿宋_GB2312"/>
          <w:color w:val="auto"/>
          <w:kern w:val="0"/>
          <w:sz w:val="28"/>
          <w:szCs w:val="28"/>
        </w:rPr>
        <w:t>学院工作小组</w:t>
      </w:r>
      <w:r>
        <w:rPr>
          <w:rFonts w:hint="eastAsia" w:ascii="Times New Roman" w:hAnsi="Times New Roman" w:eastAsia="仿宋_GB2312"/>
          <w:color w:val="auto"/>
          <w:kern w:val="0"/>
          <w:sz w:val="28"/>
          <w:szCs w:val="28"/>
        </w:rPr>
        <w:t>认定方能计分。</w:t>
      </w:r>
    </w:p>
    <w:tbl>
      <w:tblPr>
        <w:tblStyle w:val="26"/>
        <w:tblW w:w="42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916"/>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6" w:type="pct"/>
            <w:vAlign w:val="center"/>
          </w:tcPr>
          <w:p>
            <w:pPr>
              <w:jc w:val="center"/>
              <w:rPr>
                <w:rFonts w:eastAsia="仿宋_GB2312"/>
                <w:color w:val="auto"/>
                <w:kern w:val="0"/>
                <w:sz w:val="20"/>
              </w:rPr>
            </w:pPr>
          </w:p>
        </w:tc>
        <w:tc>
          <w:tcPr>
            <w:tcW w:w="2008"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855" w:type="pct"/>
            <w:vAlign w:val="center"/>
          </w:tcPr>
          <w:p>
            <w:pPr>
              <w:jc w:val="center"/>
              <w:rPr>
                <w:rFonts w:eastAsia="仿宋_GB2312"/>
                <w:color w:val="auto"/>
                <w:kern w:val="0"/>
                <w:sz w:val="20"/>
              </w:rPr>
            </w:pPr>
            <w:r>
              <w:rPr>
                <w:rFonts w:hint="eastAsia" w:eastAsia="仿宋_GB2312"/>
                <w:color w:val="auto"/>
                <w:kern w:val="0"/>
                <w:sz w:val="20"/>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6" w:type="pct"/>
            <w:vAlign w:val="center"/>
          </w:tcPr>
          <w:p>
            <w:pPr>
              <w:jc w:val="center"/>
              <w:rPr>
                <w:rFonts w:eastAsia="仿宋_GB2312"/>
                <w:color w:val="auto"/>
                <w:kern w:val="0"/>
                <w:sz w:val="20"/>
              </w:rPr>
            </w:pPr>
            <w:r>
              <w:rPr>
                <w:rFonts w:hint="eastAsia" w:eastAsia="仿宋_GB2312"/>
                <w:color w:val="auto"/>
                <w:kern w:val="0"/>
                <w:sz w:val="20"/>
              </w:rPr>
              <w:t>第一负责人</w:t>
            </w:r>
          </w:p>
        </w:tc>
        <w:tc>
          <w:tcPr>
            <w:tcW w:w="2008" w:type="pct"/>
            <w:vAlign w:val="center"/>
          </w:tcPr>
          <w:p>
            <w:pPr>
              <w:jc w:val="center"/>
              <w:rPr>
                <w:rFonts w:eastAsia="仿宋_GB2312"/>
                <w:color w:val="auto"/>
                <w:kern w:val="0"/>
                <w:sz w:val="20"/>
              </w:rPr>
            </w:pPr>
            <w:r>
              <w:rPr>
                <w:rFonts w:hint="eastAsia" w:eastAsia="仿宋_GB2312"/>
                <w:color w:val="auto"/>
                <w:kern w:val="0"/>
                <w:sz w:val="20"/>
              </w:rPr>
              <w:t>50</w:t>
            </w:r>
          </w:p>
        </w:tc>
        <w:tc>
          <w:tcPr>
            <w:tcW w:w="1855" w:type="pct"/>
            <w:vAlign w:val="center"/>
          </w:tcPr>
          <w:p>
            <w:pPr>
              <w:jc w:val="center"/>
              <w:rPr>
                <w:rFonts w:eastAsia="仿宋_GB2312"/>
                <w:color w:val="auto"/>
                <w:kern w:val="0"/>
                <w:sz w:val="20"/>
              </w:rPr>
            </w:pPr>
            <w:r>
              <w:rPr>
                <w:rFonts w:hint="eastAsia" w:eastAsia="仿宋_GB2312"/>
                <w:color w:val="auto"/>
                <w:kern w:val="0"/>
                <w:sz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6" w:type="pct"/>
            <w:vAlign w:val="center"/>
          </w:tcPr>
          <w:p>
            <w:pPr>
              <w:jc w:val="center"/>
              <w:rPr>
                <w:rFonts w:eastAsia="仿宋_GB2312"/>
                <w:color w:val="auto"/>
                <w:kern w:val="0"/>
                <w:sz w:val="20"/>
              </w:rPr>
            </w:pPr>
            <w:r>
              <w:rPr>
                <w:rFonts w:hint="eastAsia" w:eastAsia="仿宋_GB2312"/>
                <w:color w:val="auto"/>
                <w:kern w:val="0"/>
                <w:sz w:val="20"/>
              </w:rPr>
              <w:t>其他参与人</w:t>
            </w:r>
          </w:p>
        </w:tc>
        <w:tc>
          <w:tcPr>
            <w:tcW w:w="2008" w:type="pct"/>
            <w:vAlign w:val="center"/>
          </w:tcPr>
          <w:p>
            <w:pPr>
              <w:jc w:val="center"/>
              <w:rPr>
                <w:rFonts w:eastAsia="仿宋_GB2312"/>
                <w:color w:val="auto"/>
                <w:kern w:val="0"/>
                <w:sz w:val="20"/>
              </w:rPr>
            </w:pPr>
            <w:r>
              <w:rPr>
                <w:rFonts w:hint="eastAsia" w:eastAsia="仿宋_GB2312"/>
                <w:color w:val="auto"/>
                <w:kern w:val="0"/>
                <w:sz w:val="20"/>
              </w:rPr>
              <w:t>25</w:t>
            </w:r>
          </w:p>
        </w:tc>
        <w:tc>
          <w:tcPr>
            <w:tcW w:w="1855" w:type="pct"/>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rPr>
          <w:rFonts w:ascii="Times New Roman" w:hAnsi="Times New Roman" w:eastAsia="仿宋_GB2312"/>
          <w:color w:val="auto"/>
          <w:sz w:val="28"/>
        </w:rPr>
      </w:pPr>
      <w:r>
        <w:rPr>
          <w:rFonts w:hint="eastAsia" w:ascii="Times New Roman" w:hAnsi="Times New Roman" w:eastAsia="仿宋_GB2312"/>
          <w:color w:val="auto"/>
          <w:sz w:val="28"/>
        </w:rPr>
        <w:t>美育类加分说明：美育类设置一个方面，在同一方面中有多项加分情况时，只取最高一项。</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8</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体育类</w:t>
      </w:r>
    </w:p>
    <w:p>
      <w:pPr>
        <w:spacing w:line="560" w:lineRule="exact"/>
        <w:ind w:firstLine="560" w:firstLineChars="200"/>
        <w:rPr>
          <w:color w:val="auto"/>
        </w:rPr>
      </w:pPr>
      <w:r>
        <w:rPr>
          <w:rFonts w:hint="eastAsia" w:ascii="Times New Roman" w:hAnsi="Times New Roman" w:eastAsia="仿宋_GB2312"/>
          <w:color w:val="auto"/>
          <w:kern w:val="0"/>
          <w:sz w:val="28"/>
          <w:szCs w:val="28"/>
        </w:rPr>
        <w:t>体育类包含在由教育部</w:t>
      </w:r>
      <w:r>
        <w:rPr>
          <w:rFonts w:hint="eastAsia" w:ascii="Times New Roman" w:hAnsi="Times New Roman" w:eastAsia="仿宋_GB2312"/>
          <w:color w:val="auto"/>
          <w:kern w:val="0"/>
          <w:sz w:val="28"/>
          <w:szCs w:val="28"/>
          <w:lang w:eastAsia="zh-CN"/>
        </w:rPr>
        <w:t>、</w:t>
      </w:r>
      <w:r>
        <w:rPr>
          <w:rFonts w:hint="eastAsia" w:ascii="Times New Roman" w:hAnsi="Times New Roman" w:eastAsia="仿宋_GB2312"/>
          <w:color w:val="auto"/>
          <w:kern w:val="0"/>
          <w:sz w:val="28"/>
          <w:szCs w:val="28"/>
        </w:rPr>
        <w:t>体育总局及全国大学生体协举办的全国性比赛中，获得单项成绩前三名或集体项目成绩前六名的主力队员</w:t>
      </w:r>
      <w:r>
        <w:rPr>
          <w:rFonts w:ascii="Times New Roman" w:hAnsi="Times New Roman" w:eastAsia="仿宋_GB2312"/>
          <w:color w:val="auto"/>
          <w:kern w:val="0"/>
          <w:sz w:val="28"/>
          <w:szCs w:val="28"/>
        </w:rPr>
        <w:t>(篮球</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比赛中平均上场时间最多的8名运动员</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足球</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比赛中平均上场时间最多的13名运动员)</w:t>
      </w:r>
      <w:r>
        <w:rPr>
          <w:rFonts w:hint="eastAsia" w:ascii="Times New Roman" w:hAnsi="Times New Roman" w:eastAsia="仿宋_GB2312"/>
          <w:color w:val="auto"/>
          <w:kern w:val="0"/>
          <w:sz w:val="28"/>
          <w:szCs w:val="28"/>
        </w:rPr>
        <w:t>。在由省教育厅，体育局及省大学生体协举办省级比赛中，获得单项成绩第一二名或集体项目成绩前三名的主力队员</w:t>
      </w:r>
      <w:r>
        <w:rPr>
          <w:rFonts w:ascii="Times New Roman" w:hAnsi="Times New Roman" w:eastAsia="仿宋_GB2312"/>
          <w:color w:val="auto"/>
          <w:kern w:val="0"/>
          <w:sz w:val="28"/>
          <w:szCs w:val="28"/>
        </w:rPr>
        <w:t>(篮球</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比赛中平均上场时间最多的8名运动员</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足球</w:t>
      </w:r>
      <w:r>
        <w:rPr>
          <w:rFonts w:hint="eastAsia" w:ascii="Times New Roman" w:hAnsi="Times New Roman" w:eastAsia="仿宋_GB2312"/>
          <w:color w:val="auto"/>
          <w:kern w:val="0"/>
          <w:sz w:val="28"/>
          <w:szCs w:val="28"/>
        </w:rPr>
        <w:t>：</w:t>
      </w:r>
      <w:r>
        <w:rPr>
          <w:rFonts w:ascii="Times New Roman" w:hAnsi="Times New Roman" w:eastAsia="仿宋_GB2312"/>
          <w:color w:val="auto"/>
          <w:kern w:val="0"/>
          <w:sz w:val="28"/>
          <w:szCs w:val="28"/>
        </w:rPr>
        <w:t>比赛中平均上场时间最多的13名运动员)</w:t>
      </w:r>
      <w:r>
        <w:rPr>
          <w:rFonts w:hint="eastAsia" w:ascii="Times New Roman" w:hAnsi="Times New Roman" w:eastAsia="仿宋_GB2312"/>
          <w:color w:val="auto"/>
          <w:kern w:val="0"/>
          <w:sz w:val="28"/>
          <w:szCs w:val="28"/>
        </w:rPr>
        <w:t>。其他省级</w:t>
      </w:r>
      <w:r>
        <w:rPr>
          <w:rFonts w:hint="eastAsia" w:ascii="Times New Roman" w:hAnsi="Times New Roman" w:eastAsia="仿宋_GB2312"/>
          <w:color w:val="auto"/>
          <w:kern w:val="0"/>
          <w:sz w:val="28"/>
          <w:szCs w:val="28"/>
          <w:lang w:val="en-US" w:eastAsia="zh-CN"/>
        </w:rPr>
        <w:t>及</w:t>
      </w:r>
      <w:r>
        <w:rPr>
          <w:rFonts w:hint="eastAsia" w:ascii="Times New Roman" w:hAnsi="Times New Roman" w:eastAsia="仿宋_GB2312"/>
          <w:color w:val="auto"/>
          <w:kern w:val="0"/>
          <w:sz w:val="28"/>
          <w:szCs w:val="28"/>
        </w:rPr>
        <w:t>以上</w:t>
      </w:r>
      <w:r>
        <w:rPr>
          <w:rFonts w:hint="eastAsia" w:ascii="Times New Roman" w:hAnsi="Times New Roman" w:eastAsia="仿宋_GB2312"/>
          <w:color w:val="auto"/>
          <w:kern w:val="0"/>
          <w:sz w:val="28"/>
          <w:szCs w:val="28"/>
          <w:lang w:val="en-US" w:eastAsia="zh-CN"/>
        </w:rPr>
        <w:t>体育类成果</w:t>
      </w:r>
      <w:r>
        <w:rPr>
          <w:rFonts w:hint="eastAsia" w:ascii="Times New Roman" w:hAnsi="Times New Roman" w:eastAsia="仿宋_GB2312"/>
          <w:color w:val="auto"/>
          <w:kern w:val="0"/>
          <w:sz w:val="28"/>
          <w:szCs w:val="28"/>
        </w:rPr>
        <w:t>，其适用性须经学院工作小组认定方能计分。</w:t>
      </w:r>
    </w:p>
    <w:tbl>
      <w:tblPr>
        <w:tblStyle w:val="26"/>
        <w:tblW w:w="4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637"/>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0" w:type="pct"/>
            <w:vAlign w:val="center"/>
          </w:tcPr>
          <w:p>
            <w:pPr>
              <w:jc w:val="center"/>
              <w:rPr>
                <w:rFonts w:eastAsia="仿宋_GB2312"/>
                <w:color w:val="auto"/>
                <w:kern w:val="0"/>
                <w:sz w:val="20"/>
              </w:rPr>
            </w:pPr>
          </w:p>
        </w:tc>
        <w:tc>
          <w:tcPr>
            <w:tcW w:w="1845"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703" w:type="pct"/>
            <w:vAlign w:val="center"/>
          </w:tcPr>
          <w:p>
            <w:pPr>
              <w:jc w:val="center"/>
              <w:rPr>
                <w:rFonts w:eastAsia="仿宋_GB2312"/>
                <w:color w:val="auto"/>
                <w:kern w:val="0"/>
                <w:sz w:val="20"/>
              </w:rPr>
            </w:pPr>
            <w:r>
              <w:rPr>
                <w:rFonts w:hint="eastAsia" w:eastAsia="仿宋_GB2312"/>
                <w:color w:val="auto"/>
                <w:kern w:val="0"/>
                <w:sz w:val="20"/>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0" w:type="pct"/>
            <w:vAlign w:val="center"/>
          </w:tcPr>
          <w:p>
            <w:pPr>
              <w:jc w:val="center"/>
              <w:rPr>
                <w:rFonts w:eastAsia="仿宋_GB2312"/>
                <w:color w:val="auto"/>
                <w:kern w:val="0"/>
                <w:sz w:val="20"/>
              </w:rPr>
            </w:pPr>
            <w:r>
              <w:rPr>
                <w:rFonts w:hint="eastAsia" w:eastAsia="仿宋_GB2312"/>
                <w:color w:val="auto"/>
                <w:kern w:val="0"/>
                <w:sz w:val="20"/>
              </w:rPr>
              <w:t>上述规定人数内</w:t>
            </w:r>
          </w:p>
        </w:tc>
        <w:tc>
          <w:tcPr>
            <w:tcW w:w="1845" w:type="pct"/>
            <w:vAlign w:val="center"/>
          </w:tcPr>
          <w:p>
            <w:pPr>
              <w:jc w:val="center"/>
              <w:rPr>
                <w:rFonts w:eastAsia="仿宋_GB2312"/>
                <w:color w:val="auto"/>
                <w:kern w:val="0"/>
                <w:sz w:val="20"/>
              </w:rPr>
            </w:pPr>
            <w:r>
              <w:rPr>
                <w:rFonts w:hint="eastAsia" w:eastAsia="仿宋_GB2312"/>
                <w:color w:val="auto"/>
                <w:kern w:val="0"/>
                <w:sz w:val="20"/>
              </w:rPr>
              <w:t>50</w:t>
            </w:r>
          </w:p>
        </w:tc>
        <w:tc>
          <w:tcPr>
            <w:tcW w:w="1703" w:type="pct"/>
            <w:vAlign w:val="center"/>
          </w:tcPr>
          <w:p>
            <w:pPr>
              <w:jc w:val="center"/>
              <w:rPr>
                <w:rFonts w:eastAsia="仿宋_GB2312"/>
                <w:color w:val="auto"/>
                <w:kern w:val="0"/>
                <w:sz w:val="20"/>
              </w:rPr>
            </w:pPr>
            <w:r>
              <w:rPr>
                <w:rFonts w:hint="eastAsia" w:eastAsia="仿宋_GB2312"/>
                <w:color w:val="auto"/>
                <w:kern w:val="0"/>
                <w:sz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50" w:type="pct"/>
            <w:vAlign w:val="center"/>
          </w:tcPr>
          <w:p>
            <w:pPr>
              <w:jc w:val="center"/>
              <w:rPr>
                <w:rFonts w:eastAsia="仿宋_GB2312"/>
                <w:color w:val="auto"/>
                <w:kern w:val="0"/>
                <w:sz w:val="20"/>
              </w:rPr>
            </w:pPr>
            <w:r>
              <w:rPr>
                <w:rFonts w:hint="eastAsia" w:eastAsia="仿宋_GB2312"/>
                <w:color w:val="auto"/>
                <w:kern w:val="0"/>
                <w:sz w:val="20"/>
              </w:rPr>
              <w:t>上述规定人数外</w:t>
            </w:r>
          </w:p>
        </w:tc>
        <w:tc>
          <w:tcPr>
            <w:tcW w:w="1845" w:type="pct"/>
            <w:vAlign w:val="center"/>
          </w:tcPr>
          <w:p>
            <w:pPr>
              <w:jc w:val="center"/>
              <w:rPr>
                <w:rFonts w:eastAsia="仿宋_GB2312"/>
                <w:color w:val="auto"/>
                <w:kern w:val="0"/>
                <w:sz w:val="20"/>
              </w:rPr>
            </w:pPr>
            <w:r>
              <w:rPr>
                <w:rFonts w:hint="eastAsia" w:eastAsia="仿宋_GB2312"/>
                <w:color w:val="auto"/>
                <w:kern w:val="0"/>
                <w:sz w:val="20"/>
              </w:rPr>
              <w:t>25</w:t>
            </w:r>
          </w:p>
        </w:tc>
        <w:tc>
          <w:tcPr>
            <w:tcW w:w="1703" w:type="pct"/>
            <w:vAlign w:val="center"/>
          </w:tcPr>
          <w:p>
            <w:pPr>
              <w:jc w:val="center"/>
              <w:rPr>
                <w:rFonts w:eastAsia="仿宋_GB2312"/>
                <w:color w:val="auto"/>
                <w:kern w:val="0"/>
                <w:sz w:val="20"/>
              </w:rPr>
            </w:pPr>
            <w:r>
              <w:rPr>
                <w:rFonts w:hint="eastAsia" w:eastAsia="仿宋_GB2312"/>
                <w:color w:val="auto"/>
                <w:kern w:val="0"/>
                <w:sz w:val="20"/>
              </w:rPr>
              <w:t>10</w:t>
            </w:r>
          </w:p>
        </w:tc>
      </w:tr>
    </w:tbl>
    <w:p>
      <w:pPr>
        <w:spacing w:line="560" w:lineRule="exact"/>
        <w:ind w:firstLine="560" w:firstLineChars="200"/>
        <w:rPr>
          <w:rFonts w:ascii="Times New Roman" w:hAnsi="Times New Roman" w:eastAsia="仿宋_GB2312"/>
          <w:color w:val="auto"/>
          <w:sz w:val="28"/>
        </w:rPr>
      </w:pPr>
      <w:r>
        <w:rPr>
          <w:rFonts w:hint="eastAsia" w:ascii="Times New Roman" w:hAnsi="Times New Roman" w:eastAsia="仿宋_GB2312"/>
          <w:color w:val="auto"/>
          <w:sz w:val="28"/>
        </w:rPr>
        <w:t>体育类加分说明：体育类设置一个方面，在同一方面中有多项加分情况时，只取最高一项。</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9</w:t>
      </w:r>
      <w:r>
        <w:rPr>
          <w:rFonts w:ascii="Times New Roman" w:hAnsi="Times New Roman" w:eastAsia="仿宋_GB2312"/>
          <w:color w:val="auto"/>
          <w:sz w:val="28"/>
          <w:szCs w:val="28"/>
        </w:rPr>
        <w:t>.</w:t>
      </w:r>
      <w:r>
        <w:rPr>
          <w:rFonts w:hint="eastAsia" w:ascii="Times New Roman" w:hAnsi="Times New Roman" w:eastAsia="仿宋_GB2312"/>
          <w:color w:val="auto"/>
          <w:sz w:val="28"/>
          <w:szCs w:val="28"/>
        </w:rPr>
        <w:t>劳动教育类</w:t>
      </w:r>
    </w:p>
    <w:p>
      <w:pPr>
        <w:spacing w:line="560" w:lineRule="exact"/>
        <w:ind w:firstLine="560" w:firstLineChars="200"/>
        <w:rPr>
          <w:rFonts w:ascii="Times New Roman" w:hAnsi="Times New Roman" w:eastAsia="仿宋_GB2312"/>
          <w:color w:val="auto"/>
          <w:kern w:val="0"/>
          <w:sz w:val="28"/>
          <w:szCs w:val="28"/>
        </w:rPr>
      </w:pPr>
      <w:r>
        <w:rPr>
          <w:rFonts w:hint="eastAsia" w:ascii="Times New Roman" w:hAnsi="Times New Roman" w:eastAsia="仿宋_GB2312"/>
          <w:color w:val="auto"/>
          <w:sz w:val="28"/>
          <w:szCs w:val="28"/>
        </w:rPr>
        <w:t>劳动教育类包含获得劳动技能</w:t>
      </w:r>
      <w:r>
        <w:rPr>
          <w:rFonts w:hint="eastAsia" w:ascii="Times New Roman" w:hAnsi="Times New Roman" w:eastAsia="仿宋_GB2312"/>
          <w:color w:val="auto"/>
          <w:kern w:val="0"/>
          <w:sz w:val="28"/>
          <w:szCs w:val="28"/>
        </w:rPr>
        <w:t>方面国家级奖励及竞赛一等奖（奖励级别须经</w:t>
      </w:r>
      <w:r>
        <w:rPr>
          <w:rFonts w:hint="eastAsia" w:ascii="Times New Roman" w:hAnsi="Times New Roman" w:eastAsia="仿宋_GB2312"/>
          <w:color w:val="auto"/>
          <w:kern w:val="0"/>
          <w:sz w:val="28"/>
          <w:szCs w:val="28"/>
        </w:rPr>
        <w:t>学院工作小组</w:t>
      </w:r>
      <w:r>
        <w:rPr>
          <w:rFonts w:hint="eastAsia" w:ascii="Times New Roman" w:hAnsi="Times New Roman" w:eastAsia="仿宋_GB2312"/>
          <w:color w:val="auto"/>
          <w:kern w:val="0"/>
          <w:sz w:val="28"/>
          <w:szCs w:val="28"/>
        </w:rPr>
        <w:t>认定）。其他省级</w:t>
      </w:r>
      <w:r>
        <w:rPr>
          <w:rFonts w:hint="eastAsia" w:ascii="Times New Roman" w:hAnsi="Times New Roman" w:eastAsia="仿宋_GB2312"/>
          <w:color w:val="auto"/>
          <w:kern w:val="0"/>
          <w:sz w:val="28"/>
          <w:szCs w:val="28"/>
          <w:lang w:val="en-US" w:eastAsia="zh-CN"/>
        </w:rPr>
        <w:t>及</w:t>
      </w:r>
      <w:r>
        <w:rPr>
          <w:rFonts w:hint="eastAsia" w:ascii="Times New Roman" w:hAnsi="Times New Roman" w:eastAsia="仿宋_GB2312"/>
          <w:color w:val="auto"/>
          <w:kern w:val="0"/>
          <w:sz w:val="28"/>
          <w:szCs w:val="28"/>
        </w:rPr>
        <w:t>以上称号，其适用性须经</w:t>
      </w:r>
      <w:r>
        <w:rPr>
          <w:rFonts w:hint="eastAsia" w:ascii="Times New Roman" w:hAnsi="Times New Roman" w:eastAsia="仿宋_GB2312"/>
          <w:color w:val="auto"/>
          <w:kern w:val="0"/>
          <w:sz w:val="28"/>
          <w:szCs w:val="28"/>
        </w:rPr>
        <w:t>学院工作小组</w:t>
      </w:r>
      <w:r>
        <w:rPr>
          <w:rFonts w:hint="eastAsia" w:ascii="Times New Roman" w:hAnsi="Times New Roman" w:eastAsia="仿宋_GB2312"/>
          <w:color w:val="auto"/>
          <w:kern w:val="0"/>
          <w:sz w:val="28"/>
          <w:szCs w:val="28"/>
        </w:rPr>
        <w:t>认定方能计分。</w:t>
      </w:r>
    </w:p>
    <w:tbl>
      <w:tblPr>
        <w:tblStyle w:val="26"/>
        <w:tblW w:w="4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2136"/>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6" w:type="pct"/>
            <w:vAlign w:val="center"/>
          </w:tcPr>
          <w:p>
            <w:pPr>
              <w:jc w:val="center"/>
              <w:rPr>
                <w:rFonts w:eastAsia="仿宋_GB2312"/>
                <w:color w:val="auto"/>
                <w:kern w:val="0"/>
                <w:sz w:val="20"/>
              </w:rPr>
            </w:pPr>
          </w:p>
        </w:tc>
        <w:tc>
          <w:tcPr>
            <w:tcW w:w="1478" w:type="pct"/>
            <w:vAlign w:val="center"/>
          </w:tcPr>
          <w:p>
            <w:pPr>
              <w:jc w:val="center"/>
              <w:rPr>
                <w:rFonts w:eastAsia="仿宋_GB2312"/>
                <w:color w:val="auto"/>
                <w:kern w:val="0"/>
                <w:sz w:val="20"/>
              </w:rPr>
            </w:pPr>
            <w:r>
              <w:rPr>
                <w:rFonts w:hint="eastAsia" w:eastAsia="仿宋_GB2312"/>
                <w:color w:val="auto"/>
                <w:kern w:val="0"/>
                <w:sz w:val="20"/>
              </w:rPr>
              <w:t>国家级</w:t>
            </w:r>
          </w:p>
        </w:tc>
        <w:tc>
          <w:tcPr>
            <w:tcW w:w="1614" w:type="pct"/>
            <w:vAlign w:val="center"/>
          </w:tcPr>
          <w:p>
            <w:pPr>
              <w:jc w:val="center"/>
              <w:rPr>
                <w:rFonts w:eastAsia="仿宋_GB2312"/>
                <w:color w:val="auto"/>
                <w:kern w:val="0"/>
                <w:sz w:val="20"/>
              </w:rPr>
            </w:pPr>
            <w:r>
              <w:rPr>
                <w:rFonts w:hint="eastAsia" w:eastAsia="仿宋_GB2312"/>
                <w:color w:val="auto"/>
                <w:kern w:val="0"/>
                <w:sz w:val="20"/>
              </w:rPr>
              <w:t>省级（赛区）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6" w:type="pct"/>
            <w:vAlign w:val="center"/>
          </w:tcPr>
          <w:p>
            <w:pPr>
              <w:jc w:val="center"/>
              <w:rPr>
                <w:rFonts w:eastAsia="仿宋_GB2312"/>
                <w:color w:val="auto"/>
                <w:kern w:val="0"/>
                <w:sz w:val="20"/>
              </w:rPr>
            </w:pPr>
            <w:r>
              <w:rPr>
                <w:rFonts w:hint="eastAsia" w:eastAsia="仿宋_GB2312"/>
                <w:color w:val="auto"/>
                <w:kern w:val="0"/>
                <w:sz w:val="20"/>
              </w:rPr>
              <w:t>一等奖（或第一名）</w:t>
            </w:r>
          </w:p>
        </w:tc>
        <w:tc>
          <w:tcPr>
            <w:tcW w:w="1478" w:type="pct"/>
            <w:vAlign w:val="center"/>
          </w:tcPr>
          <w:p>
            <w:pPr>
              <w:jc w:val="center"/>
              <w:rPr>
                <w:rFonts w:eastAsia="仿宋_GB2312"/>
                <w:color w:val="auto"/>
                <w:kern w:val="0"/>
                <w:sz w:val="20"/>
              </w:rPr>
            </w:pPr>
            <w:r>
              <w:rPr>
                <w:rFonts w:hint="eastAsia" w:eastAsia="仿宋_GB2312"/>
                <w:color w:val="auto"/>
                <w:kern w:val="0"/>
                <w:sz w:val="20"/>
              </w:rPr>
              <w:t>50</w:t>
            </w:r>
          </w:p>
        </w:tc>
        <w:tc>
          <w:tcPr>
            <w:tcW w:w="1614" w:type="pct"/>
            <w:vAlign w:val="center"/>
          </w:tcPr>
          <w:p>
            <w:pPr>
              <w:jc w:val="center"/>
              <w:rPr>
                <w:rFonts w:eastAsia="仿宋_GB2312"/>
                <w:color w:val="auto"/>
                <w:kern w:val="0"/>
                <w:sz w:val="20"/>
              </w:rPr>
            </w:pPr>
            <w:r>
              <w:rPr>
                <w:rFonts w:hint="eastAsia" w:eastAsia="仿宋_GB2312"/>
                <w:color w:val="auto"/>
                <w:kern w:val="0"/>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06" w:type="pct"/>
            <w:vAlign w:val="center"/>
          </w:tcPr>
          <w:p>
            <w:pPr>
              <w:jc w:val="center"/>
              <w:rPr>
                <w:rFonts w:eastAsia="仿宋_GB2312"/>
                <w:color w:val="auto"/>
                <w:kern w:val="0"/>
                <w:sz w:val="20"/>
              </w:rPr>
            </w:pPr>
            <w:r>
              <w:rPr>
                <w:rFonts w:hint="eastAsia" w:eastAsia="仿宋_GB2312"/>
                <w:color w:val="auto"/>
                <w:kern w:val="0"/>
                <w:sz w:val="20"/>
              </w:rPr>
              <w:t>二等奖（或第二名）</w:t>
            </w:r>
          </w:p>
        </w:tc>
        <w:tc>
          <w:tcPr>
            <w:tcW w:w="1478" w:type="pct"/>
            <w:vAlign w:val="center"/>
          </w:tcPr>
          <w:p>
            <w:pPr>
              <w:jc w:val="center"/>
              <w:rPr>
                <w:rFonts w:eastAsia="仿宋_GB2312"/>
                <w:color w:val="auto"/>
                <w:kern w:val="0"/>
                <w:sz w:val="20"/>
              </w:rPr>
            </w:pPr>
            <w:r>
              <w:rPr>
                <w:rFonts w:hint="eastAsia" w:eastAsia="仿宋_GB2312"/>
                <w:color w:val="auto"/>
                <w:kern w:val="0"/>
                <w:sz w:val="20"/>
              </w:rPr>
              <w:t>30</w:t>
            </w:r>
          </w:p>
        </w:tc>
        <w:tc>
          <w:tcPr>
            <w:tcW w:w="1614" w:type="pct"/>
            <w:vAlign w:val="center"/>
          </w:tcPr>
          <w:p>
            <w:pPr>
              <w:jc w:val="center"/>
              <w:rPr>
                <w:rFonts w:eastAsia="仿宋_GB2312"/>
                <w:color w:val="auto"/>
                <w:kern w:val="0"/>
                <w:sz w:val="20"/>
              </w:rPr>
            </w:pPr>
            <w:r>
              <w:rPr>
                <w:rFonts w:hint="eastAsia" w:eastAsia="仿宋_GB2312"/>
                <w:color w:val="auto"/>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906" w:type="pct"/>
            <w:vAlign w:val="center"/>
          </w:tcPr>
          <w:p>
            <w:pPr>
              <w:jc w:val="center"/>
              <w:rPr>
                <w:rFonts w:eastAsia="仿宋_GB2312"/>
                <w:color w:val="auto"/>
                <w:kern w:val="0"/>
                <w:sz w:val="20"/>
              </w:rPr>
            </w:pPr>
            <w:r>
              <w:rPr>
                <w:rFonts w:hint="eastAsia" w:eastAsia="仿宋_GB2312"/>
                <w:color w:val="auto"/>
                <w:kern w:val="0"/>
                <w:sz w:val="20"/>
              </w:rPr>
              <w:t>三等奖（或第三名）</w:t>
            </w:r>
          </w:p>
        </w:tc>
        <w:tc>
          <w:tcPr>
            <w:tcW w:w="1478" w:type="pct"/>
            <w:vAlign w:val="center"/>
          </w:tcPr>
          <w:p>
            <w:pPr>
              <w:jc w:val="center"/>
              <w:rPr>
                <w:rFonts w:eastAsia="仿宋_GB2312"/>
                <w:color w:val="auto"/>
                <w:kern w:val="0"/>
                <w:sz w:val="20"/>
              </w:rPr>
            </w:pPr>
            <w:r>
              <w:rPr>
                <w:rFonts w:hint="eastAsia" w:eastAsia="仿宋_GB2312"/>
                <w:color w:val="auto"/>
                <w:kern w:val="0"/>
                <w:sz w:val="20"/>
              </w:rPr>
              <w:t>25</w:t>
            </w:r>
          </w:p>
        </w:tc>
        <w:tc>
          <w:tcPr>
            <w:tcW w:w="1614" w:type="pct"/>
            <w:vAlign w:val="center"/>
          </w:tcPr>
          <w:p>
            <w:pPr>
              <w:jc w:val="center"/>
              <w:rPr>
                <w:rFonts w:eastAsia="仿宋_GB2312"/>
                <w:color w:val="auto"/>
                <w:kern w:val="0"/>
                <w:sz w:val="20"/>
              </w:rPr>
            </w:pPr>
            <w:r>
              <w:rPr>
                <w:rFonts w:hint="eastAsia" w:eastAsia="仿宋_GB2312"/>
                <w:color w:val="auto"/>
                <w:kern w:val="0"/>
                <w:sz w:val="20"/>
              </w:rPr>
              <w:t>3</w:t>
            </w:r>
          </w:p>
        </w:tc>
      </w:tr>
    </w:tbl>
    <w:p>
      <w:pPr>
        <w:adjustRightInd w:val="0"/>
        <w:snapToGrid w:val="0"/>
        <w:spacing w:line="560" w:lineRule="exact"/>
        <w:ind w:firstLine="560" w:firstLineChars="200"/>
        <w:rPr>
          <w:rFonts w:ascii="Times New Roman" w:hAnsi="Times New Roman" w:eastAsia="仿宋_GB2312"/>
          <w:color w:val="auto"/>
          <w:sz w:val="28"/>
        </w:rPr>
      </w:pPr>
      <w:bookmarkStart w:id="8" w:name="_Hlk91667724"/>
      <w:r>
        <w:rPr>
          <w:rFonts w:hint="eastAsia" w:ascii="Times New Roman" w:hAnsi="Times New Roman" w:eastAsia="仿宋_GB2312"/>
          <w:color w:val="auto"/>
          <w:sz w:val="28"/>
        </w:rPr>
        <w:t>劳动教育类加分说明：</w:t>
      </w:r>
    </w:p>
    <w:p>
      <w:pPr>
        <w:adjustRightInd w:val="0"/>
        <w:snapToGrid w:val="0"/>
        <w:spacing w:line="560" w:lineRule="exact"/>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①劳动教育类</w:t>
      </w:r>
      <w:bookmarkEnd w:id="8"/>
      <w:r>
        <w:rPr>
          <w:rFonts w:hint="eastAsia" w:ascii="Times New Roman" w:hAnsi="Times New Roman" w:eastAsia="仿宋_GB2312"/>
          <w:color w:val="auto"/>
          <w:sz w:val="24"/>
          <w:szCs w:val="24"/>
        </w:rPr>
        <w:t>设置一个方面，学生在同一方面中有多项加分情况时，只取最高一项。</w:t>
      </w:r>
    </w:p>
    <w:p>
      <w:pPr>
        <w:adjustRightInd w:val="0"/>
        <w:snapToGrid w:val="0"/>
        <w:spacing w:line="560" w:lineRule="exact"/>
        <w:ind w:firstLine="480" w:firstLineChars="200"/>
        <w:rPr>
          <w:rFonts w:ascii="Times New Roman" w:hAnsi="Times New Roman" w:eastAsia="仿宋_GB2312"/>
          <w:color w:val="auto"/>
          <w:sz w:val="24"/>
          <w:szCs w:val="24"/>
        </w:rPr>
      </w:pPr>
      <w:r>
        <w:rPr>
          <w:rFonts w:hint="eastAsia" w:ascii="Times New Roman" w:hAnsi="Times New Roman" w:eastAsia="仿宋_GB2312"/>
          <w:color w:val="auto"/>
          <w:sz w:val="24"/>
          <w:szCs w:val="24"/>
        </w:rPr>
        <w:t>②劳动教育类合作者成果认定：主持人认定为</w:t>
      </w:r>
      <w:r>
        <w:rPr>
          <w:rFonts w:ascii="Times New Roman" w:hAnsi="Times New Roman" w:eastAsia="仿宋_GB2312"/>
          <w:color w:val="auto"/>
          <w:sz w:val="24"/>
          <w:szCs w:val="24"/>
        </w:rPr>
        <w:t>1</w:t>
      </w:r>
      <w:r>
        <w:rPr>
          <w:rFonts w:hint="eastAsia" w:ascii="Times New Roman" w:hAnsi="Times New Roman" w:eastAsia="仿宋_GB2312"/>
          <w:color w:val="auto"/>
          <w:sz w:val="24"/>
          <w:szCs w:val="24"/>
        </w:rPr>
        <w:t>项，第一主研认定为</w:t>
      </w:r>
      <w:r>
        <w:rPr>
          <w:rFonts w:ascii="Times New Roman" w:hAnsi="Times New Roman" w:eastAsia="仿宋_GB2312"/>
          <w:color w:val="auto"/>
          <w:sz w:val="24"/>
          <w:szCs w:val="24"/>
        </w:rPr>
        <w:t>0.5</w:t>
      </w:r>
      <w:r>
        <w:rPr>
          <w:rFonts w:hint="eastAsia" w:ascii="Times New Roman" w:hAnsi="Times New Roman" w:eastAsia="仿宋_GB2312"/>
          <w:color w:val="auto"/>
          <w:sz w:val="24"/>
          <w:szCs w:val="24"/>
        </w:rPr>
        <w:t>项，第二主研认定为</w:t>
      </w:r>
      <w:r>
        <w:rPr>
          <w:rFonts w:ascii="Times New Roman" w:hAnsi="Times New Roman" w:eastAsia="仿宋_GB2312"/>
          <w:color w:val="auto"/>
          <w:sz w:val="24"/>
          <w:szCs w:val="24"/>
        </w:rPr>
        <w:t>0.3</w:t>
      </w:r>
      <w:r>
        <w:rPr>
          <w:rFonts w:hint="eastAsia" w:ascii="Times New Roman" w:hAnsi="Times New Roman" w:eastAsia="仿宋_GB2312"/>
          <w:color w:val="auto"/>
          <w:sz w:val="24"/>
          <w:szCs w:val="24"/>
        </w:rPr>
        <w:t>项，第三主研认定为</w:t>
      </w:r>
      <w:r>
        <w:rPr>
          <w:rFonts w:ascii="Times New Roman" w:hAnsi="Times New Roman" w:eastAsia="仿宋_GB2312"/>
          <w:color w:val="auto"/>
          <w:sz w:val="24"/>
          <w:szCs w:val="24"/>
        </w:rPr>
        <w:t>0.2</w:t>
      </w:r>
      <w:r>
        <w:rPr>
          <w:rFonts w:hint="eastAsia" w:ascii="Times New Roman" w:hAnsi="Times New Roman" w:eastAsia="仿宋_GB2312"/>
          <w:color w:val="auto"/>
          <w:sz w:val="24"/>
          <w:szCs w:val="24"/>
        </w:rPr>
        <w:t>项，第四及以后者认定为</w:t>
      </w:r>
      <w:r>
        <w:rPr>
          <w:rFonts w:ascii="Times New Roman" w:hAnsi="Times New Roman" w:eastAsia="仿宋_GB2312"/>
          <w:color w:val="auto"/>
          <w:sz w:val="24"/>
          <w:szCs w:val="24"/>
        </w:rPr>
        <w:t>0.1</w:t>
      </w:r>
      <w:r>
        <w:rPr>
          <w:rFonts w:hint="eastAsia" w:ascii="Times New Roman" w:hAnsi="Times New Roman" w:eastAsia="仿宋_GB2312"/>
          <w:color w:val="auto"/>
          <w:sz w:val="24"/>
          <w:szCs w:val="24"/>
        </w:rPr>
        <w:t>项。</w:t>
      </w:r>
    </w:p>
    <w:p>
      <w:pPr>
        <w:spacing w:line="560" w:lineRule="exact"/>
        <w:ind w:firstLine="562" w:firstLineChars="200"/>
        <w:rPr>
          <w:rFonts w:ascii="Times New Roman" w:hAnsi="Times New Roman" w:eastAsia="仿宋_GB2312"/>
          <w:b/>
          <w:color w:val="auto"/>
          <w:sz w:val="28"/>
          <w:szCs w:val="28"/>
        </w:rPr>
      </w:pPr>
      <w:r>
        <w:rPr>
          <w:rFonts w:hint="eastAsia" w:ascii="Times New Roman" w:hAnsi="Times New Roman" w:eastAsia="仿宋_GB2312"/>
          <w:b/>
          <w:color w:val="auto"/>
          <w:sz w:val="28"/>
          <w:szCs w:val="28"/>
        </w:rPr>
        <w:t>（三）拔尖项目加分规则</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拔尖项目加分按照《西南财经大学推荐免试研究生管理办法》规定执行。</w:t>
      </w:r>
    </w:p>
    <w:p>
      <w:pPr>
        <w:keepNext/>
        <w:keepLines/>
        <w:spacing w:before="312" w:beforeLines="100" w:after="312" w:afterLines="100" w:line="560" w:lineRule="exact"/>
        <w:jc w:val="center"/>
        <w:outlineLvl w:val="1"/>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 xml:space="preserve">第四章  </w:t>
      </w:r>
      <w:r>
        <w:rPr>
          <w:rFonts w:hint="eastAsia" w:ascii="Times New Roman" w:hAnsi="Times New Roman" w:eastAsia="黑体" w:cs="Times New Roman"/>
          <w:b/>
          <w:color w:val="auto"/>
          <w:sz w:val="32"/>
          <w:szCs w:val="32"/>
        </w:rPr>
        <w:t>学术专长认定</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第八条</w:t>
      </w:r>
      <w:r>
        <w:rPr>
          <w:rFonts w:ascii="Times New Roman" w:hAnsi="Times New Roman" w:eastAsia="仿宋_GB2312" w:cs="仿宋"/>
          <w:color w:val="auto"/>
          <w:kern w:val="0"/>
          <w:sz w:val="28"/>
          <w:szCs w:val="28"/>
        </w:rPr>
        <w:t xml:space="preserve">  推</w:t>
      </w:r>
      <w:r>
        <w:rPr>
          <w:rFonts w:ascii="Times New Roman" w:hAnsi="Times New Roman" w:eastAsia="仿宋_GB2312"/>
          <w:color w:val="auto"/>
          <w:sz w:val="28"/>
          <w:szCs w:val="28"/>
        </w:rPr>
        <w:t>免生学术专长原则上仅限学生本科阶段在核心期刊上以独立作者或第一作者发表的与学业相关的科研论文；作为主力成员参加与学业相关的国内权威科研竞赛（全国赛）并获得三等奖以上奖励。</w:t>
      </w:r>
    </w:p>
    <w:p>
      <w:pPr>
        <w:spacing w:line="560" w:lineRule="exact"/>
        <w:ind w:firstLine="560" w:firstLineChars="200"/>
        <w:rPr>
          <w:rFonts w:ascii="Times New Roman" w:hAnsi="Times New Roman" w:eastAsia="仿宋_GB2312"/>
          <w:color w:val="auto"/>
          <w:sz w:val="28"/>
          <w:szCs w:val="28"/>
        </w:rPr>
      </w:pPr>
      <w:r>
        <w:rPr>
          <w:rFonts w:hint="eastAsia" w:ascii="Times New Roman" w:hAnsi="Times New Roman" w:eastAsia="仿宋_GB2312"/>
          <w:color w:val="auto"/>
          <w:sz w:val="28"/>
          <w:szCs w:val="28"/>
        </w:rPr>
        <w:t>对于刊物、赛事的认定学院从严把握。论文原则上只认定发表于《西南财经大学学术期刊目录》的中英文论文及《人民日报》《光明日报》理论版文章。国际赛事的认定参照全国赛执行，但不得低于全国赛事相关要求。</w:t>
      </w:r>
    </w:p>
    <w:p>
      <w:pPr>
        <w:spacing w:line="560" w:lineRule="exact"/>
        <w:ind w:firstLine="562" w:firstLineChars="200"/>
        <w:rPr>
          <w:rFonts w:ascii="Times New Roman" w:hAnsi="Times New Roman" w:eastAsia="仿宋_GB2312"/>
          <w:color w:val="auto"/>
          <w:sz w:val="28"/>
          <w:szCs w:val="28"/>
        </w:rPr>
      </w:pPr>
      <w:r>
        <w:rPr>
          <w:rFonts w:hint="eastAsia" w:ascii="Times New Roman" w:hAnsi="Times New Roman" w:eastAsia="仿宋_GB2312"/>
          <w:b/>
          <w:color w:val="auto"/>
          <w:sz w:val="28"/>
          <w:szCs w:val="28"/>
        </w:rPr>
        <w:t>第九条</w:t>
      </w:r>
      <w:r>
        <w:rPr>
          <w:rFonts w:ascii="Times New Roman" w:hAnsi="Times New Roman" w:eastAsia="仿宋_GB2312" w:cs="仿宋"/>
          <w:color w:val="auto"/>
          <w:kern w:val="0"/>
          <w:sz w:val="28"/>
          <w:szCs w:val="28"/>
        </w:rPr>
        <w:t xml:space="preserve">  </w:t>
      </w:r>
      <w:r>
        <w:rPr>
          <w:rFonts w:ascii="Times New Roman" w:hAnsi="Times New Roman" w:eastAsia="仿宋_GB2312"/>
          <w:color w:val="auto"/>
          <w:sz w:val="28"/>
          <w:szCs w:val="28"/>
        </w:rPr>
        <w:t>学生与直系亲属或学历、职称、职务明显高于本人者合作的科研成果、竞赛奖项等仅作为参考，不纳入学生本人推免遴选综合测评成绩计算体系，同等条件下可优先考虑。</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第十条</w:t>
      </w:r>
      <w:r>
        <w:rPr>
          <w:rFonts w:ascii="Times New Roman" w:hAnsi="Times New Roman" w:eastAsia="仿宋_GB2312"/>
          <w:b/>
          <w:color w:val="auto"/>
          <w:sz w:val="28"/>
          <w:szCs w:val="28"/>
        </w:rPr>
        <w:t xml:space="preserve"> </w:t>
      </w:r>
      <w:r>
        <w:rPr>
          <w:rFonts w:ascii="Times New Roman" w:hAnsi="Times New Roman" w:eastAsia="仿宋_GB2312" w:cs="仿宋"/>
          <w:color w:val="auto"/>
          <w:kern w:val="0"/>
          <w:sz w:val="28"/>
          <w:szCs w:val="28"/>
        </w:rPr>
        <w:t xml:space="preserve"> 学院成立专家审核小组（专家组成员原则上应具有相关学科副教授以上职称，一般不少于5人），会同相关期刊杂志单位、赛事主办单位等，对申请推免资格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纳入推免遴选综合评价成绩计算体系。</w:t>
      </w:r>
    </w:p>
    <w:p>
      <w:pPr>
        <w:keepNext/>
        <w:keepLines/>
        <w:spacing w:before="312" w:beforeLines="100" w:after="312" w:afterLines="100" w:line="560" w:lineRule="exact"/>
        <w:jc w:val="center"/>
        <w:outlineLvl w:val="1"/>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第</w:t>
      </w:r>
      <w:r>
        <w:rPr>
          <w:rFonts w:hint="eastAsia" w:ascii="Times New Roman" w:hAnsi="Times New Roman" w:eastAsia="黑体" w:cs="Times New Roman"/>
          <w:b/>
          <w:color w:val="auto"/>
          <w:sz w:val="32"/>
          <w:szCs w:val="32"/>
        </w:rPr>
        <w:t>五</w:t>
      </w:r>
      <w:r>
        <w:rPr>
          <w:rFonts w:ascii="Times New Roman" w:hAnsi="Times New Roman" w:eastAsia="黑体" w:cs="Times New Roman"/>
          <w:b/>
          <w:color w:val="auto"/>
          <w:sz w:val="32"/>
          <w:szCs w:val="32"/>
        </w:rPr>
        <w:t xml:space="preserve">章  </w:t>
      </w:r>
      <w:r>
        <w:rPr>
          <w:rFonts w:hint="eastAsia" w:ascii="Times New Roman" w:hAnsi="Times New Roman" w:eastAsia="黑体" w:cs="Times New Roman"/>
          <w:b/>
          <w:color w:val="auto"/>
          <w:sz w:val="32"/>
          <w:szCs w:val="32"/>
        </w:rPr>
        <w:t>管理与监督</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第十一条</w:t>
      </w:r>
      <w:r>
        <w:rPr>
          <w:rFonts w:ascii="Times New Roman" w:hAnsi="Times New Roman" w:eastAsia="仿宋_GB2312" w:cs="仿宋"/>
          <w:color w:val="auto"/>
          <w:kern w:val="0"/>
          <w:sz w:val="28"/>
          <w:szCs w:val="28"/>
        </w:rPr>
        <w:t xml:space="preserve">  推免相关工作人员有直系亲属或利益相关人员报名参加推免招生的，应主动向学院工作小组申请回避。有非直系亲属等报名参加推免招生的，应主动向学院工作小组报备。相关学生申请推免资格时也应主动向学院工作小组报备声明。</w:t>
      </w:r>
    </w:p>
    <w:p>
      <w:pPr>
        <w:spacing w:line="560" w:lineRule="exact"/>
        <w:ind w:firstLine="560" w:firstLineChars="200"/>
        <w:rPr>
          <w:rFonts w:ascii="Times New Roman" w:hAnsi="Times New Roman" w:eastAsia="仿宋_GB2312" w:cs="仿宋"/>
          <w:color w:val="auto"/>
          <w:kern w:val="0"/>
          <w:sz w:val="28"/>
          <w:szCs w:val="28"/>
        </w:rPr>
      </w:pPr>
      <w:r>
        <w:rPr>
          <w:rFonts w:hint="eastAsia" w:ascii="Times New Roman" w:hAnsi="Times New Roman" w:eastAsia="仿宋_GB2312" w:cs="仿宋"/>
          <w:color w:val="auto"/>
          <w:kern w:val="0"/>
          <w:sz w:val="28"/>
          <w:szCs w:val="28"/>
        </w:rPr>
        <w:t>对未按规定报备声明回避关系的推免相关工作人员，学校将依规依据严肃处理；对未按规定报备声明回避关系且影响推免过程和结果公平公正的学生，将取消该生的推免资格。</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第十二条</w:t>
      </w:r>
      <w:r>
        <w:rPr>
          <w:rFonts w:ascii="Times New Roman" w:hAnsi="Times New Roman" w:eastAsia="仿宋_GB2312" w:cs="仿宋"/>
          <w:color w:val="auto"/>
          <w:kern w:val="0"/>
          <w:sz w:val="28"/>
          <w:szCs w:val="28"/>
        </w:rPr>
        <w:t xml:space="preserve">  对在推免过程中弄虚作假，有论文抄袭、虚报获奖或科研成果等学术不端行为或者有其他严重影响推免过程和结果公平公正行为的学生，一经查实，取消推免生资格，已入学的取消学籍，并报省级教育招生考试机构按规定记入《国家教育考试考生诚信档案》。</w:t>
      </w:r>
    </w:p>
    <w:p>
      <w:pPr>
        <w:spacing w:line="560" w:lineRule="exact"/>
        <w:ind w:firstLine="560" w:firstLineChars="200"/>
        <w:rPr>
          <w:rFonts w:ascii="Times New Roman" w:hAnsi="Times New Roman" w:eastAsia="仿宋_GB2312" w:cs="仿宋"/>
          <w:color w:val="auto"/>
          <w:kern w:val="0"/>
          <w:sz w:val="28"/>
          <w:szCs w:val="28"/>
        </w:rPr>
      </w:pPr>
      <w:r>
        <w:rPr>
          <w:rFonts w:hint="eastAsia" w:ascii="Times New Roman" w:hAnsi="Times New Roman" w:eastAsia="仿宋_GB2312" w:cs="仿宋"/>
          <w:color w:val="auto"/>
          <w:kern w:val="0"/>
          <w:sz w:val="28"/>
          <w:szCs w:val="28"/>
        </w:rPr>
        <w:t>对在推免工作中管理松懈、把关不严，未能尽到审核责任的学院，核减下一年度推免生名额，影响学校推免资格的追究相关人员责任。</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第十三条</w:t>
      </w:r>
      <w:r>
        <w:rPr>
          <w:rFonts w:ascii="Times New Roman" w:hAnsi="Times New Roman" w:eastAsia="仿宋_GB2312" w:cs="仿宋"/>
          <w:color w:val="auto"/>
          <w:kern w:val="0"/>
          <w:sz w:val="28"/>
          <w:szCs w:val="28"/>
        </w:rPr>
        <w:t xml:space="preserve">  学生对推免生工作或名单有异议，可按照《西南财经大学学生申诉处理办法》申诉。</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第十四条</w:t>
      </w:r>
      <w:r>
        <w:rPr>
          <w:rFonts w:ascii="Times New Roman" w:hAnsi="Times New Roman" w:eastAsia="仿宋_GB2312" w:cs="仿宋"/>
          <w:color w:val="auto"/>
          <w:kern w:val="0"/>
          <w:sz w:val="28"/>
          <w:szCs w:val="28"/>
        </w:rPr>
        <w:t xml:space="preserve">  获得推免生资格后如出现考试作弊和学术不端行为、不能按期毕业或不能获得学士学位证书，推免生资格自动取消。</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第十五条</w:t>
      </w:r>
      <w:r>
        <w:rPr>
          <w:rFonts w:ascii="Times New Roman" w:hAnsi="Times New Roman" w:eastAsia="仿宋_GB2312" w:cs="仿宋"/>
          <w:color w:val="auto"/>
          <w:kern w:val="0"/>
          <w:sz w:val="28"/>
          <w:szCs w:val="28"/>
        </w:rPr>
        <w:t xml:space="preserve">  所有获得推免生资格者，由学校统一将名单上报到教育部规定管理平台。学生在管理平台中自行完成网上报名、复试、录取等流程。</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第十六条</w:t>
      </w:r>
      <w:r>
        <w:rPr>
          <w:rFonts w:ascii="Times New Roman" w:hAnsi="Times New Roman" w:eastAsia="仿宋_GB2312" w:cs="仿宋"/>
          <w:color w:val="auto"/>
          <w:kern w:val="0"/>
          <w:sz w:val="28"/>
          <w:szCs w:val="28"/>
        </w:rPr>
        <w:t xml:space="preserve">  推免生取得资格后自愿到其它学校就读的，由本人自行联系，教务处负责出具相关证明。在本科学习期间，推免生仍按本科生管理规定进行管理。</w:t>
      </w:r>
    </w:p>
    <w:p>
      <w:pPr>
        <w:keepNext/>
        <w:keepLines/>
        <w:spacing w:before="312" w:beforeLines="100" w:after="312" w:afterLines="100" w:line="560" w:lineRule="exact"/>
        <w:jc w:val="center"/>
        <w:outlineLvl w:val="1"/>
        <w:rPr>
          <w:rFonts w:ascii="Times New Roman" w:hAnsi="Times New Roman" w:eastAsia="黑体" w:cs="Times New Roman"/>
          <w:b/>
          <w:color w:val="auto"/>
          <w:sz w:val="32"/>
          <w:szCs w:val="32"/>
        </w:rPr>
      </w:pPr>
      <w:r>
        <w:rPr>
          <w:rFonts w:ascii="Times New Roman" w:hAnsi="Times New Roman" w:eastAsia="黑体" w:cs="Times New Roman"/>
          <w:b/>
          <w:color w:val="auto"/>
          <w:sz w:val="32"/>
          <w:szCs w:val="32"/>
        </w:rPr>
        <w:t>第</w:t>
      </w:r>
      <w:r>
        <w:rPr>
          <w:rFonts w:hint="eastAsia" w:ascii="Times New Roman" w:hAnsi="Times New Roman" w:eastAsia="黑体" w:cs="Times New Roman"/>
          <w:b/>
          <w:color w:val="auto"/>
          <w:sz w:val="32"/>
          <w:szCs w:val="32"/>
        </w:rPr>
        <w:t>六</w:t>
      </w:r>
      <w:r>
        <w:rPr>
          <w:rFonts w:ascii="Times New Roman" w:hAnsi="Times New Roman" w:eastAsia="黑体" w:cs="Times New Roman"/>
          <w:b/>
          <w:color w:val="auto"/>
          <w:sz w:val="32"/>
          <w:szCs w:val="32"/>
        </w:rPr>
        <w:t xml:space="preserve">章  </w:t>
      </w:r>
      <w:r>
        <w:rPr>
          <w:rFonts w:hint="eastAsia" w:ascii="Times New Roman" w:hAnsi="Times New Roman" w:eastAsia="黑体" w:cs="Times New Roman"/>
          <w:b/>
          <w:color w:val="auto"/>
          <w:sz w:val="32"/>
          <w:szCs w:val="32"/>
        </w:rPr>
        <w:t>附则</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第十七条</w:t>
      </w:r>
      <w:r>
        <w:rPr>
          <w:rFonts w:ascii="Times New Roman" w:hAnsi="Times New Roman" w:eastAsia="仿宋_GB2312" w:cs="仿宋"/>
          <w:color w:val="auto"/>
          <w:kern w:val="0"/>
          <w:sz w:val="28"/>
          <w:szCs w:val="28"/>
        </w:rPr>
        <w:t xml:space="preserve">  如国家政策规定发生变化，学校可依据政策规定变化对当年推免工作进行调整。</w:t>
      </w:r>
    </w:p>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第十八条</w:t>
      </w:r>
      <w:r>
        <w:rPr>
          <w:rFonts w:ascii="Times New Roman" w:hAnsi="Times New Roman" w:eastAsia="仿宋_GB2312" w:cs="仿宋"/>
          <w:color w:val="auto"/>
          <w:kern w:val="0"/>
          <w:sz w:val="28"/>
          <w:szCs w:val="28"/>
        </w:rPr>
        <w:t xml:space="preserve">  研究生支教团的管理办法由校团委另行制定。</w:t>
      </w:r>
    </w:p>
    <w:p>
      <w:pPr>
        <w:spacing w:line="560" w:lineRule="exact"/>
        <w:ind w:firstLine="562" w:firstLineChars="200"/>
        <w:rPr>
          <w:rFonts w:ascii="Times New Roman" w:hAnsi="Times New Roman" w:eastAsia="仿宋_GB2312" w:cs="仿宋"/>
          <w:color w:val="auto"/>
          <w:kern w:val="0"/>
          <w:sz w:val="28"/>
          <w:szCs w:val="28"/>
        </w:rPr>
      </w:pPr>
      <w:bookmarkStart w:id="9" w:name="_Hlk108101401"/>
      <w:r>
        <w:rPr>
          <w:rFonts w:hint="eastAsia" w:ascii="Times New Roman" w:hAnsi="Times New Roman" w:eastAsia="仿宋_GB2312"/>
          <w:b/>
          <w:color w:val="auto"/>
          <w:sz w:val="28"/>
          <w:szCs w:val="28"/>
        </w:rPr>
        <w:t>第十九条</w:t>
      </w:r>
      <w:r>
        <w:rPr>
          <w:rFonts w:ascii="Times New Roman" w:hAnsi="Times New Roman" w:eastAsia="仿宋_GB2312" w:cs="仿宋"/>
          <w:color w:val="auto"/>
          <w:kern w:val="0"/>
          <w:sz w:val="28"/>
          <w:szCs w:val="28"/>
        </w:rPr>
        <w:t xml:space="preserve">  本办法</w:t>
      </w:r>
      <w:r>
        <w:rPr>
          <w:rFonts w:hint="eastAsia" w:ascii="Times New Roman" w:hAnsi="Times New Roman" w:eastAsia="仿宋_GB2312" w:cs="仿宋"/>
          <w:color w:val="auto"/>
          <w:kern w:val="0"/>
          <w:sz w:val="28"/>
          <w:szCs w:val="28"/>
        </w:rPr>
        <w:t>适用于</w:t>
      </w:r>
      <w:r>
        <w:rPr>
          <w:rFonts w:hint="eastAsia" w:ascii="仿宋" w:hAnsi="仿宋" w:eastAsia="仿宋" w:cs="仿宋"/>
          <w:bCs/>
          <w:color w:val="auto"/>
          <w:kern w:val="0"/>
          <w:sz w:val="28"/>
          <w:szCs w:val="28"/>
        </w:rPr>
        <w:t>20</w:t>
      </w:r>
      <w:r>
        <w:rPr>
          <w:rFonts w:ascii="仿宋" w:hAnsi="仿宋" w:eastAsia="仿宋" w:cs="仿宋"/>
          <w:bCs/>
          <w:color w:val="auto"/>
          <w:kern w:val="0"/>
          <w:sz w:val="28"/>
          <w:szCs w:val="28"/>
        </w:rPr>
        <w:t>22</w:t>
      </w:r>
      <w:r>
        <w:rPr>
          <w:rFonts w:hint="eastAsia" w:ascii="仿宋" w:hAnsi="仿宋" w:eastAsia="仿宋" w:cs="仿宋"/>
          <w:bCs/>
          <w:color w:val="auto"/>
          <w:kern w:val="0"/>
          <w:sz w:val="28"/>
          <w:szCs w:val="28"/>
        </w:rPr>
        <w:t>级行政管理专业和劳动与社会保障专业的学生</w:t>
      </w:r>
      <w:r>
        <w:rPr>
          <w:rFonts w:hint="eastAsia" w:ascii="仿宋" w:hAnsi="仿宋" w:eastAsia="仿宋" w:cs="仿宋"/>
          <w:b/>
          <w:color w:val="auto"/>
          <w:kern w:val="0"/>
          <w:sz w:val="28"/>
          <w:szCs w:val="28"/>
        </w:rPr>
        <w:t>，</w:t>
      </w:r>
      <w:r>
        <w:rPr>
          <w:rFonts w:ascii="Times New Roman" w:hAnsi="Times New Roman" w:eastAsia="仿宋_GB2312" w:cs="仿宋"/>
          <w:color w:val="auto"/>
          <w:kern w:val="0"/>
          <w:sz w:val="28"/>
          <w:szCs w:val="28"/>
        </w:rPr>
        <w:t>由</w:t>
      </w:r>
      <w:r>
        <w:rPr>
          <w:rFonts w:hint="eastAsia" w:ascii="Times New Roman" w:hAnsi="Times New Roman" w:eastAsia="仿宋_GB2312" w:cs="仿宋"/>
          <w:color w:val="auto"/>
          <w:kern w:val="0"/>
          <w:sz w:val="28"/>
          <w:szCs w:val="28"/>
        </w:rPr>
        <w:t>公共管理学院</w:t>
      </w:r>
      <w:r>
        <w:rPr>
          <w:rFonts w:ascii="Times New Roman" w:hAnsi="Times New Roman" w:eastAsia="仿宋_GB2312" w:cs="仿宋"/>
          <w:color w:val="auto"/>
          <w:kern w:val="0"/>
          <w:sz w:val="28"/>
          <w:szCs w:val="28"/>
        </w:rPr>
        <w:t>负责解释。</w:t>
      </w:r>
    </w:p>
    <w:bookmarkEnd w:id="9"/>
    <w:p>
      <w:pPr>
        <w:spacing w:line="560" w:lineRule="exact"/>
        <w:ind w:firstLine="562" w:firstLineChars="200"/>
        <w:rPr>
          <w:rFonts w:ascii="Times New Roman" w:hAnsi="Times New Roman" w:eastAsia="仿宋_GB2312" w:cs="仿宋"/>
          <w:color w:val="auto"/>
          <w:kern w:val="0"/>
          <w:sz w:val="28"/>
          <w:szCs w:val="28"/>
        </w:rPr>
      </w:pPr>
      <w:r>
        <w:rPr>
          <w:rFonts w:hint="eastAsia" w:ascii="Times New Roman" w:hAnsi="Times New Roman" w:eastAsia="仿宋_GB2312"/>
          <w:b/>
          <w:color w:val="auto"/>
          <w:sz w:val="28"/>
          <w:szCs w:val="28"/>
        </w:rPr>
        <w:t>第二十条</w:t>
      </w:r>
      <w:r>
        <w:rPr>
          <w:rFonts w:ascii="Times New Roman" w:hAnsi="Times New Roman" w:eastAsia="仿宋_GB2312" w:cs="仿宋"/>
          <w:color w:val="auto"/>
          <w:kern w:val="0"/>
          <w:sz w:val="28"/>
          <w:szCs w:val="28"/>
        </w:rPr>
        <w:t xml:space="preserve">  本办法自</w:t>
      </w:r>
      <w:r>
        <w:rPr>
          <w:rFonts w:hint="eastAsia" w:ascii="Times New Roman" w:hAnsi="Times New Roman" w:eastAsia="仿宋_GB2312" w:cs="仿宋"/>
          <w:color w:val="auto"/>
          <w:kern w:val="0"/>
          <w:sz w:val="28"/>
          <w:szCs w:val="28"/>
        </w:rPr>
        <w:t>公布之日</w:t>
      </w:r>
      <w:r>
        <w:rPr>
          <w:rFonts w:ascii="Times New Roman" w:hAnsi="Times New Roman" w:eastAsia="仿宋_GB2312" w:cs="仿宋"/>
          <w:color w:val="auto"/>
          <w:kern w:val="0"/>
          <w:sz w:val="28"/>
          <w:szCs w:val="28"/>
        </w:rPr>
        <w:t>起施行。原与推免生相关的其他办法同时废止。</w:t>
      </w:r>
    </w:p>
    <w:p>
      <w:pPr>
        <w:shd w:val="clear" w:color="auto" w:fill="FFFFFF"/>
        <w:spacing w:line="560" w:lineRule="exact"/>
        <w:ind w:firstLine="560" w:firstLineChars="200"/>
        <w:jc w:val="right"/>
        <w:rPr>
          <w:rFonts w:ascii="Times New Roman" w:hAnsi="Times New Roman" w:eastAsia="仿宋_GB2312" w:cs="宋体"/>
          <w:color w:val="auto"/>
          <w:kern w:val="0"/>
          <w:sz w:val="28"/>
          <w:szCs w:val="24"/>
        </w:rPr>
      </w:pPr>
      <w:r>
        <w:rPr>
          <w:rFonts w:hint="eastAsia" w:ascii="Times New Roman" w:hAnsi="Times New Roman" w:eastAsia="仿宋_GB2312" w:cs="宋体"/>
          <w:color w:val="auto"/>
          <w:kern w:val="0"/>
          <w:sz w:val="28"/>
          <w:szCs w:val="28"/>
        </w:rPr>
        <w:t>西南财经大学公共管理学院</w:t>
      </w:r>
    </w:p>
    <w:p>
      <w:pPr>
        <w:shd w:val="clear" w:color="auto" w:fill="FFFFFF"/>
        <w:spacing w:line="560" w:lineRule="exact"/>
        <w:ind w:firstLine="560" w:firstLineChars="200"/>
        <w:jc w:val="right"/>
        <w:rPr>
          <w:rFonts w:ascii="Times New Roman" w:hAnsi="Times New Roman" w:eastAsia="仿宋_GB2312" w:cs="宋体"/>
          <w:color w:val="auto"/>
          <w:kern w:val="0"/>
          <w:sz w:val="28"/>
          <w:szCs w:val="24"/>
        </w:rPr>
      </w:pPr>
      <w:r>
        <w:rPr>
          <w:rFonts w:ascii="Times New Roman" w:hAnsi="Times New Roman" w:eastAsia="仿宋_GB2312" w:cs="宋体"/>
          <w:color w:val="auto"/>
          <w:kern w:val="0"/>
          <w:sz w:val="28"/>
          <w:szCs w:val="28"/>
        </w:rPr>
        <w:t>2022</w:t>
      </w:r>
      <w:r>
        <w:rPr>
          <w:rFonts w:hint="eastAsia" w:ascii="Times New Roman" w:hAnsi="Times New Roman" w:eastAsia="仿宋_GB2312" w:cs="宋体"/>
          <w:color w:val="auto"/>
          <w:kern w:val="0"/>
          <w:sz w:val="28"/>
          <w:szCs w:val="28"/>
        </w:rPr>
        <w:t>年12月1日</w:t>
      </w:r>
    </w:p>
    <w:p>
      <w:pPr>
        <w:widowControl/>
        <w:jc w:val="lef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ZDNhOGJiNTdkZGMzODI0Zjk3MmY3NTdhZGRjY2YifQ=="/>
  </w:docVars>
  <w:rsids>
    <w:rsidRoot w:val="008B3672"/>
    <w:rsid w:val="00002F5B"/>
    <w:rsid w:val="00033E5C"/>
    <w:rsid w:val="0003563A"/>
    <w:rsid w:val="0005471A"/>
    <w:rsid w:val="00057BB7"/>
    <w:rsid w:val="00087D17"/>
    <w:rsid w:val="000977F2"/>
    <w:rsid w:val="000D40C2"/>
    <w:rsid w:val="000F34BD"/>
    <w:rsid w:val="00162272"/>
    <w:rsid w:val="0016573B"/>
    <w:rsid w:val="001D394E"/>
    <w:rsid w:val="00222CD1"/>
    <w:rsid w:val="002340FE"/>
    <w:rsid w:val="00245927"/>
    <w:rsid w:val="00265543"/>
    <w:rsid w:val="00293E9B"/>
    <w:rsid w:val="002E2DD1"/>
    <w:rsid w:val="002F6501"/>
    <w:rsid w:val="00311960"/>
    <w:rsid w:val="00311FAF"/>
    <w:rsid w:val="00355A34"/>
    <w:rsid w:val="0036522E"/>
    <w:rsid w:val="003709EA"/>
    <w:rsid w:val="003951D1"/>
    <w:rsid w:val="003C04ED"/>
    <w:rsid w:val="0042035C"/>
    <w:rsid w:val="0044588A"/>
    <w:rsid w:val="004922FB"/>
    <w:rsid w:val="004D079B"/>
    <w:rsid w:val="00521BED"/>
    <w:rsid w:val="00527AC2"/>
    <w:rsid w:val="005D0F71"/>
    <w:rsid w:val="006047BF"/>
    <w:rsid w:val="00680D16"/>
    <w:rsid w:val="006E1B4D"/>
    <w:rsid w:val="00755D22"/>
    <w:rsid w:val="007846D3"/>
    <w:rsid w:val="00785BA6"/>
    <w:rsid w:val="007B0F55"/>
    <w:rsid w:val="0082483D"/>
    <w:rsid w:val="00835F57"/>
    <w:rsid w:val="00853E29"/>
    <w:rsid w:val="008859BE"/>
    <w:rsid w:val="008B3672"/>
    <w:rsid w:val="00900F2C"/>
    <w:rsid w:val="00914F4C"/>
    <w:rsid w:val="00972047"/>
    <w:rsid w:val="00982C58"/>
    <w:rsid w:val="009B4699"/>
    <w:rsid w:val="009E4900"/>
    <w:rsid w:val="009F60E0"/>
    <w:rsid w:val="00A4720C"/>
    <w:rsid w:val="00A475E1"/>
    <w:rsid w:val="00AC2E29"/>
    <w:rsid w:val="00AE5777"/>
    <w:rsid w:val="00AE7516"/>
    <w:rsid w:val="00B815FA"/>
    <w:rsid w:val="00BB0BA9"/>
    <w:rsid w:val="00C26D87"/>
    <w:rsid w:val="00C63B24"/>
    <w:rsid w:val="00C72DFE"/>
    <w:rsid w:val="00D2128E"/>
    <w:rsid w:val="00D5223F"/>
    <w:rsid w:val="00DB2412"/>
    <w:rsid w:val="00DB5ADE"/>
    <w:rsid w:val="00DC27BB"/>
    <w:rsid w:val="00DE1E38"/>
    <w:rsid w:val="00E1756E"/>
    <w:rsid w:val="00E26CE3"/>
    <w:rsid w:val="00E50025"/>
    <w:rsid w:val="00E52065"/>
    <w:rsid w:val="00E568AD"/>
    <w:rsid w:val="00EC1242"/>
    <w:rsid w:val="00EC2749"/>
    <w:rsid w:val="00EC60E5"/>
    <w:rsid w:val="00F11626"/>
    <w:rsid w:val="00F50041"/>
    <w:rsid w:val="00F923FB"/>
    <w:rsid w:val="00FB54CE"/>
    <w:rsid w:val="00FE1CA0"/>
    <w:rsid w:val="012313A8"/>
    <w:rsid w:val="04EA1413"/>
    <w:rsid w:val="04EB48D3"/>
    <w:rsid w:val="08FA50E4"/>
    <w:rsid w:val="097F1A8E"/>
    <w:rsid w:val="0B6F78AF"/>
    <w:rsid w:val="0DC3019B"/>
    <w:rsid w:val="0E7019A5"/>
    <w:rsid w:val="101652DA"/>
    <w:rsid w:val="12525F91"/>
    <w:rsid w:val="132F0080"/>
    <w:rsid w:val="18F35E7C"/>
    <w:rsid w:val="191506B4"/>
    <w:rsid w:val="1A7C5940"/>
    <w:rsid w:val="1C5A43C0"/>
    <w:rsid w:val="1CFF7059"/>
    <w:rsid w:val="21D95D87"/>
    <w:rsid w:val="26F471BF"/>
    <w:rsid w:val="28400CC7"/>
    <w:rsid w:val="2B3B716B"/>
    <w:rsid w:val="2D0363AE"/>
    <w:rsid w:val="30112B90"/>
    <w:rsid w:val="30281C88"/>
    <w:rsid w:val="303539BA"/>
    <w:rsid w:val="30614DBD"/>
    <w:rsid w:val="30DC596D"/>
    <w:rsid w:val="318831F8"/>
    <w:rsid w:val="31BE28A4"/>
    <w:rsid w:val="32170EB8"/>
    <w:rsid w:val="32292413"/>
    <w:rsid w:val="33133FFE"/>
    <w:rsid w:val="35AD3D6B"/>
    <w:rsid w:val="38CC1D4A"/>
    <w:rsid w:val="38F207CE"/>
    <w:rsid w:val="3AE8273F"/>
    <w:rsid w:val="3BB052BC"/>
    <w:rsid w:val="3D18597B"/>
    <w:rsid w:val="40FE3F4B"/>
    <w:rsid w:val="456F23DB"/>
    <w:rsid w:val="49E631FD"/>
    <w:rsid w:val="4BA85AEB"/>
    <w:rsid w:val="4E41243B"/>
    <w:rsid w:val="4EDD6607"/>
    <w:rsid w:val="4F01438D"/>
    <w:rsid w:val="5054598A"/>
    <w:rsid w:val="55C7591B"/>
    <w:rsid w:val="55D549F2"/>
    <w:rsid w:val="576158FB"/>
    <w:rsid w:val="5900361E"/>
    <w:rsid w:val="5BE014E5"/>
    <w:rsid w:val="5C1B42CB"/>
    <w:rsid w:val="5CF8460C"/>
    <w:rsid w:val="5E744166"/>
    <w:rsid w:val="62FF4946"/>
    <w:rsid w:val="63DC7C3A"/>
    <w:rsid w:val="65063DE0"/>
    <w:rsid w:val="6546685C"/>
    <w:rsid w:val="666878CC"/>
    <w:rsid w:val="693B28C8"/>
    <w:rsid w:val="6AD37B7E"/>
    <w:rsid w:val="6D321474"/>
    <w:rsid w:val="6EF47329"/>
    <w:rsid w:val="74DF6386"/>
    <w:rsid w:val="75701DDF"/>
    <w:rsid w:val="7955507A"/>
    <w:rsid w:val="7BDE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3"/>
    <w:qFormat/>
    <w:uiPriority w:val="9"/>
    <w:pPr>
      <w:spacing w:before="720" w:beforeLines="300" w:after="240" w:afterLines="100" w:line="700" w:lineRule="exact"/>
      <w:jc w:val="center"/>
      <w:outlineLvl w:val="0"/>
    </w:pPr>
    <w:rPr>
      <w:rFonts w:ascii="Times New Roman" w:hAnsi="Times New Roman" w:eastAsia="华文中宋"/>
      <w:b/>
      <w:sz w:val="44"/>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7"/>
    <w:basedOn w:val="1"/>
    <w:next w:val="1"/>
    <w:link w:val="24"/>
    <w:qFormat/>
    <w:uiPriority w:val="9"/>
    <w:pPr>
      <w:spacing w:line="560" w:lineRule="exact"/>
      <w:jc w:val="center"/>
      <w:outlineLvl w:val="6"/>
    </w:pPr>
    <w:rPr>
      <w:rFonts w:ascii="Times New Roman" w:hAnsi="Times New Roman" w:eastAsia="楷体_GB2312"/>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semiHidden/>
    <w:unhideWhenUsed/>
    <w:qFormat/>
    <w:uiPriority w:val="99"/>
    <w:pPr>
      <w:jc w:val="left"/>
    </w:pPr>
  </w:style>
  <w:style w:type="paragraph" w:styleId="7">
    <w:name w:val="Balloon Text"/>
    <w:basedOn w:val="1"/>
    <w:link w:val="34"/>
    <w:semiHidden/>
    <w:unhideWhenUsed/>
    <w:qFormat/>
    <w:uiPriority w:val="99"/>
    <w:rPr>
      <w:rFonts w:asciiTheme="majorHAnsi" w:hAnsiTheme="majorHAnsi" w:eastAsiaTheme="majorEastAsia" w:cstheme="majorBidi"/>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5"/>
    <w:qFormat/>
    <w:uiPriority w:val="0"/>
    <w:pPr>
      <w:snapToGrid w:val="0"/>
      <w:jc w:val="left"/>
    </w:pPr>
    <w:rPr>
      <w:rFonts w:ascii="Times New Roman" w:hAnsi="Times New Roman" w:eastAsia="宋体" w:cs="Times New Roman"/>
      <w:sz w:val="18"/>
      <w:szCs w:val="18"/>
      <w:lang w:val="zh-CN"/>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6"/>
    <w:next w:val="6"/>
    <w:link w:val="33"/>
    <w:semiHidden/>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FollowedHyperlink"/>
    <w:basedOn w:val="15"/>
    <w:semiHidden/>
    <w:unhideWhenUsed/>
    <w:qFormat/>
    <w:uiPriority w:val="99"/>
    <w:rPr>
      <w:color w:val="771CAA"/>
      <w:u w:val="none"/>
    </w:rPr>
  </w:style>
  <w:style w:type="character" w:styleId="18">
    <w:name w:val="Emphasis"/>
    <w:basedOn w:val="15"/>
    <w:qFormat/>
    <w:uiPriority w:val="20"/>
    <w:rPr>
      <w:color w:val="F73131"/>
    </w:rPr>
  </w:style>
  <w:style w:type="character" w:styleId="19">
    <w:name w:val="Hyperlink"/>
    <w:basedOn w:val="15"/>
    <w:semiHidden/>
    <w:unhideWhenUsed/>
    <w:qFormat/>
    <w:uiPriority w:val="99"/>
    <w:rPr>
      <w:color w:val="2440B3"/>
      <w:u w:val="none"/>
    </w:rPr>
  </w:style>
  <w:style w:type="character" w:styleId="20">
    <w:name w:val="annotation reference"/>
    <w:basedOn w:val="15"/>
    <w:semiHidden/>
    <w:unhideWhenUsed/>
    <w:qFormat/>
    <w:uiPriority w:val="99"/>
    <w:rPr>
      <w:sz w:val="18"/>
      <w:szCs w:val="18"/>
    </w:rPr>
  </w:style>
  <w:style w:type="character" w:styleId="21">
    <w:name w:val="HTML Cite"/>
    <w:basedOn w:val="15"/>
    <w:semiHidden/>
    <w:unhideWhenUsed/>
    <w:qFormat/>
    <w:uiPriority w:val="99"/>
    <w:rPr>
      <w:color w:val="008000"/>
    </w:rPr>
  </w:style>
  <w:style w:type="character" w:styleId="22">
    <w:name w:val="footnote reference"/>
    <w:qFormat/>
    <w:uiPriority w:val="0"/>
    <w:rPr>
      <w:vertAlign w:val="superscript"/>
    </w:rPr>
  </w:style>
  <w:style w:type="character" w:customStyle="1" w:styleId="23">
    <w:name w:val="标题 1 字符"/>
    <w:basedOn w:val="15"/>
    <w:link w:val="2"/>
    <w:qFormat/>
    <w:uiPriority w:val="9"/>
    <w:rPr>
      <w:rFonts w:ascii="Times New Roman" w:hAnsi="Times New Roman" w:eastAsia="华文中宋"/>
      <w:b/>
      <w:sz w:val="44"/>
      <w:szCs w:val="44"/>
    </w:rPr>
  </w:style>
  <w:style w:type="character" w:customStyle="1" w:styleId="24">
    <w:name w:val="标题 7 字符"/>
    <w:basedOn w:val="15"/>
    <w:link w:val="5"/>
    <w:qFormat/>
    <w:uiPriority w:val="9"/>
    <w:rPr>
      <w:rFonts w:ascii="Times New Roman" w:hAnsi="Times New Roman" w:eastAsia="楷体_GB2312"/>
      <w:b/>
      <w:sz w:val="28"/>
      <w:szCs w:val="21"/>
    </w:rPr>
  </w:style>
  <w:style w:type="character" w:customStyle="1" w:styleId="25">
    <w:name w:val="脚注文本 字符"/>
    <w:basedOn w:val="15"/>
    <w:link w:val="10"/>
    <w:qFormat/>
    <w:uiPriority w:val="0"/>
    <w:rPr>
      <w:rFonts w:ascii="Times New Roman" w:hAnsi="Times New Roman" w:eastAsia="宋体" w:cs="Times New Roman"/>
      <w:sz w:val="18"/>
      <w:szCs w:val="18"/>
      <w:lang w:val="zh-CN"/>
    </w:rPr>
  </w:style>
  <w:style w:type="table" w:customStyle="1" w:styleId="26">
    <w:name w:val="网格型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页眉 字符"/>
    <w:basedOn w:val="15"/>
    <w:link w:val="9"/>
    <w:qFormat/>
    <w:uiPriority w:val="99"/>
    <w:rPr>
      <w:sz w:val="18"/>
      <w:szCs w:val="18"/>
    </w:rPr>
  </w:style>
  <w:style w:type="character" w:customStyle="1" w:styleId="28">
    <w:name w:val="页脚 字符"/>
    <w:basedOn w:val="15"/>
    <w:link w:val="8"/>
    <w:qFormat/>
    <w:uiPriority w:val="99"/>
    <w:rPr>
      <w:sz w:val="18"/>
      <w:szCs w:val="18"/>
    </w:rPr>
  </w:style>
  <w:style w:type="character" w:customStyle="1" w:styleId="29">
    <w:name w:val="NormalCharacter"/>
    <w:semiHidden/>
    <w:qFormat/>
    <w:uiPriority w:val="0"/>
  </w:style>
  <w:style w:type="paragraph" w:customStyle="1" w:styleId="30">
    <w:name w:val="修订1"/>
    <w:hidden/>
    <w:semiHidden/>
    <w:qFormat/>
    <w:uiPriority w:val="99"/>
    <w:rPr>
      <w:rFonts w:asciiTheme="minorHAnsi" w:hAnsiTheme="minorHAnsi" w:eastAsiaTheme="minorEastAsia" w:cstheme="minorBidi"/>
      <w:kern w:val="2"/>
      <w:sz w:val="21"/>
      <w:szCs w:val="21"/>
      <w:lang w:val="en-US" w:eastAsia="zh-CN" w:bidi="ar-SA"/>
    </w:rPr>
  </w:style>
  <w:style w:type="paragraph" w:styleId="31">
    <w:name w:val="List Paragraph"/>
    <w:basedOn w:val="1"/>
    <w:qFormat/>
    <w:uiPriority w:val="34"/>
    <w:pPr>
      <w:ind w:firstLine="420" w:firstLineChars="200"/>
    </w:pPr>
  </w:style>
  <w:style w:type="character" w:customStyle="1" w:styleId="32">
    <w:name w:val="批注文字 字符"/>
    <w:basedOn w:val="15"/>
    <w:link w:val="6"/>
    <w:semiHidden/>
    <w:qFormat/>
    <w:uiPriority w:val="99"/>
    <w:rPr>
      <w:szCs w:val="21"/>
    </w:rPr>
  </w:style>
  <w:style w:type="character" w:customStyle="1" w:styleId="33">
    <w:name w:val="批注主题 字符"/>
    <w:basedOn w:val="32"/>
    <w:link w:val="12"/>
    <w:semiHidden/>
    <w:qFormat/>
    <w:uiPriority w:val="99"/>
    <w:rPr>
      <w:b/>
      <w:bCs/>
      <w:szCs w:val="21"/>
    </w:rPr>
  </w:style>
  <w:style w:type="character" w:customStyle="1" w:styleId="34">
    <w:name w:val="批注框文本 字符"/>
    <w:basedOn w:val="15"/>
    <w:link w:val="7"/>
    <w:semiHidden/>
    <w:qFormat/>
    <w:uiPriority w:val="99"/>
    <w:rPr>
      <w:rFonts w:asciiTheme="majorHAnsi" w:hAnsiTheme="majorHAnsi" w:eastAsiaTheme="majorEastAsia" w:cstheme="majorBidi"/>
      <w:sz w:val="18"/>
      <w:szCs w:val="18"/>
    </w:rPr>
  </w:style>
  <w:style w:type="character" w:customStyle="1" w:styleId="35">
    <w:name w:val="c-icon30"/>
    <w:basedOn w:val="15"/>
    <w:qFormat/>
    <w:uiPriority w:val="0"/>
  </w:style>
  <w:style w:type="character" w:customStyle="1" w:styleId="36">
    <w:name w:val="hover27"/>
    <w:basedOn w:val="15"/>
    <w:qFormat/>
    <w:uiPriority w:val="0"/>
  </w:style>
  <w:style w:type="character" w:customStyle="1" w:styleId="37">
    <w:name w:val="hover28"/>
    <w:basedOn w:val="15"/>
    <w:qFormat/>
    <w:uiPriority w:val="0"/>
    <w:rPr>
      <w:color w:val="315EFB"/>
    </w:rPr>
  </w:style>
  <w:style w:type="character" w:customStyle="1" w:styleId="38">
    <w:name w:val="hover29"/>
    <w:basedOn w:val="15"/>
    <w:qFormat/>
    <w:uiPriority w:val="0"/>
    <w:rPr>
      <w:color w:val="315EFB"/>
    </w:rPr>
  </w:style>
  <w:style w:type="character" w:customStyle="1" w:styleId="39">
    <w:name w:val="content-right_8zs401"/>
    <w:basedOn w:val="15"/>
    <w:qFormat/>
    <w:uiPriority w:val="0"/>
  </w:style>
  <w:style w:type="character" w:customStyle="1" w:styleId="40">
    <w:name w:val="hover24"/>
    <w:basedOn w:val="15"/>
    <w:qFormat/>
    <w:uiPriority w:val="0"/>
  </w:style>
  <w:style w:type="character" w:customStyle="1" w:styleId="41">
    <w:name w:val="hover25"/>
    <w:basedOn w:val="15"/>
    <w:qFormat/>
    <w:uiPriority w:val="0"/>
    <w:rPr>
      <w:color w:val="315EFB"/>
    </w:rPr>
  </w:style>
  <w:style w:type="character" w:customStyle="1" w:styleId="42">
    <w:name w:val="hover26"/>
    <w:basedOn w:val="15"/>
    <w:qFormat/>
    <w:uiPriority w:val="0"/>
    <w:rPr>
      <w:color w:val="315EFB"/>
    </w:rPr>
  </w:style>
  <w:style w:type="character" w:customStyle="1" w:styleId="43">
    <w:name w:val="c-icon26"/>
    <w:basedOn w:val="15"/>
    <w:qFormat/>
    <w:uiPriority w:val="0"/>
  </w:style>
  <w:style w:type="character" w:customStyle="1" w:styleId="44">
    <w:name w:val="c-icon"/>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7920</Words>
  <Characters>8131</Characters>
  <Lines>55</Lines>
  <Paragraphs>15</Paragraphs>
  <TotalTime>1</TotalTime>
  <ScaleCrop>false</ScaleCrop>
  <LinksUpToDate>false</LinksUpToDate>
  <CharactersWithSpaces>8189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2022-12-02T02:13:00Z</dcterms:created>
  <dc:creator>juanjuan</dc:creator>
  <cp:lastModifiedBy>ccb818</cp:lastModifiedBy>
  <dcterms:modified xsi:type="dcterms:W3CDTF">2022-12-04T13:07:17Z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2E766CF7014F47C8ADB45A3978CC1B4C</vt:lpwstr>
  </property>
</Properties>
</file>